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5CCB9">
      <w:pPr>
        <w:keepNext w:val="0"/>
        <w:keepLines w:val="0"/>
        <w:pageBreakBefore w:val="0"/>
        <w:widowControl w:val="0"/>
        <w:kinsoku/>
        <w:wordWrap/>
        <w:topLinePunct w:val="0"/>
        <w:autoSpaceDE/>
        <w:autoSpaceDN/>
        <w:bidi w:val="0"/>
        <w:adjustRightInd/>
        <w:snapToGrid w:val="0"/>
        <w:spacing w:before="240" w:after="120" w:line="560" w:lineRule="exact"/>
        <w:jc w:val="center"/>
        <w:textAlignment w:val="auto"/>
        <w:rPr>
          <w:rFonts w:hint="eastAsia" w:ascii="方正小标宋简体" w:hAnsi="方正小标宋简体" w:eastAsia="方正小标宋简体" w:cs="方正小标宋简体"/>
          <w:b w:val="0"/>
          <w:i w:val="0"/>
          <w:iCs w:val="0"/>
          <w:caps w:val="0"/>
          <w:strike w:val="0"/>
          <w:color w:val="auto"/>
          <w:spacing w:val="0"/>
          <w:sz w:val="44"/>
          <w:szCs w:val="44"/>
          <w:highlight w:val="none"/>
          <w:u w:val="none"/>
          <w:lang w:val="en-US" w:eastAsia="zh-CN"/>
        </w:rPr>
      </w:pPr>
      <w:r>
        <w:rPr>
          <w:rFonts w:hint="eastAsia" w:ascii="方正小标宋简体" w:hAnsi="方正小标宋简体" w:eastAsia="方正小标宋简体" w:cs="方正小标宋简体"/>
          <w:b w:val="0"/>
          <w:i w:val="0"/>
          <w:iCs w:val="0"/>
          <w:caps w:val="0"/>
          <w:strike w:val="0"/>
          <w:color w:val="auto"/>
          <w:spacing w:val="0"/>
          <w:sz w:val="44"/>
          <w:szCs w:val="44"/>
          <w:highlight w:val="none"/>
          <w:u w:val="none"/>
          <w:lang w:val="en-US" w:eastAsia="zh-CN"/>
        </w:rPr>
        <w:t>经济管理学院本科生素质能力测评实施细则</w:t>
      </w:r>
    </w:p>
    <w:p w14:paraId="6799E437">
      <w:pPr>
        <w:keepNext w:val="0"/>
        <w:keepLines w:val="0"/>
        <w:pageBreakBefore w:val="0"/>
        <w:widowControl w:val="0"/>
        <w:kinsoku/>
        <w:wordWrap/>
        <w:topLinePunct w:val="0"/>
        <w:autoSpaceDE/>
        <w:autoSpaceDN/>
        <w:bidi w:val="0"/>
        <w:adjustRightInd/>
        <w:snapToGrid w:val="0"/>
        <w:spacing w:before="240" w:after="120" w:line="560" w:lineRule="exact"/>
        <w:jc w:val="center"/>
        <w:textAlignment w:val="auto"/>
        <w:rPr>
          <w:rFonts w:hint="eastAsia" w:ascii="方正小标宋简体" w:hAnsi="方正小标宋简体" w:eastAsia="方正小标宋简体" w:cs="方正小标宋简体"/>
          <w:b w:val="0"/>
          <w:i w:val="0"/>
          <w:iCs w:val="0"/>
          <w:caps w:val="0"/>
          <w:strike w:val="0"/>
          <w:color w:val="auto"/>
          <w:spacing w:val="0"/>
          <w:sz w:val="44"/>
          <w:szCs w:val="44"/>
          <w:highlight w:val="none"/>
          <w:u w:val="none"/>
          <w:lang w:val="en-US" w:eastAsia="zh-CN"/>
        </w:rPr>
      </w:pPr>
      <w:r>
        <w:rPr>
          <w:rFonts w:hint="eastAsia" w:ascii="方正小标宋简体" w:hAnsi="方正小标宋简体" w:eastAsia="方正小标宋简体" w:cs="方正小标宋简体"/>
          <w:b w:val="0"/>
          <w:i w:val="0"/>
          <w:iCs w:val="0"/>
          <w:caps w:val="0"/>
          <w:strike w:val="0"/>
          <w:color w:val="auto"/>
          <w:spacing w:val="0"/>
          <w:sz w:val="44"/>
          <w:szCs w:val="44"/>
          <w:highlight w:val="none"/>
          <w:u w:val="none"/>
          <w:lang w:val="en-US" w:eastAsia="zh-CN"/>
        </w:rPr>
        <w:t>（2023、2024级适用）</w:t>
      </w:r>
      <w:bookmarkStart w:id="8" w:name="_GoBack"/>
      <w:bookmarkEnd w:id="8"/>
    </w:p>
    <w:p w14:paraId="2FFDDE61">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bCs/>
          <w:sz w:val="32"/>
          <w:szCs w:val="32"/>
          <w:highlight w:val="none"/>
        </w:rPr>
      </w:pPr>
      <w:r>
        <w:rPr>
          <w:rFonts w:ascii="黑体" w:hAnsi="黑体" w:eastAsia="黑体"/>
          <w:kern w:val="0"/>
          <w:sz w:val="32"/>
          <w:szCs w:val="32"/>
          <w:highlight w:val="none"/>
        </w:rPr>
        <w:t>第一章 总则</w:t>
      </w:r>
    </w:p>
    <w:p w14:paraId="3EC56AF6">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为全面贯彻党的教育方针，落实立德树人根本任务，培养德智体美劳全面发展的社会主义建设者和接班人，根据</w:t>
      </w:r>
      <w:r>
        <w:rPr>
          <w:rFonts w:hint="eastAsia" w:ascii="仿宋" w:hAnsi="仿宋" w:eastAsia="仿宋"/>
          <w:kern w:val="0"/>
          <w:sz w:val="32"/>
          <w:szCs w:val="32"/>
          <w:highlight w:val="none"/>
        </w:rPr>
        <w:t>《西北农林科技大学本科生素质能力测评实施办法（试行）》</w:t>
      </w:r>
      <w:r>
        <w:rPr>
          <w:rFonts w:hint="eastAsia" w:ascii="仿宋" w:hAnsi="仿宋" w:eastAsia="仿宋"/>
          <w:b/>
          <w:bCs/>
          <w:kern w:val="0"/>
          <w:sz w:val="32"/>
          <w:szCs w:val="32"/>
          <w:highlight w:val="none"/>
        </w:rPr>
        <w:t>（校党发</w:t>
      </w:r>
      <w:r>
        <w:rPr>
          <w:rFonts w:hint="eastAsia" w:ascii="仿宋" w:hAnsi="仿宋" w:eastAsia="仿宋" w:cs="仿宋"/>
          <w:b/>
          <w:bCs/>
          <w:color w:val="auto"/>
          <w:kern w:val="2"/>
          <w:sz w:val="32"/>
          <w:szCs w:val="32"/>
          <w:highlight w:val="none"/>
          <w:u w:val="none"/>
          <w:lang w:val="en-US" w:eastAsia="zh-CN" w:bidi="ar-SA"/>
        </w:rPr>
        <w:t>〔</w:t>
      </w:r>
      <w:r>
        <w:rPr>
          <w:rFonts w:hint="eastAsia" w:ascii="仿宋" w:hAnsi="仿宋" w:eastAsia="仿宋"/>
          <w:b/>
          <w:bCs/>
          <w:kern w:val="0"/>
          <w:sz w:val="32"/>
          <w:szCs w:val="32"/>
          <w:highlight w:val="none"/>
        </w:rPr>
        <w:t>2020</w:t>
      </w:r>
      <w:r>
        <w:rPr>
          <w:rFonts w:hint="eastAsia" w:ascii="仿宋" w:hAnsi="仿宋" w:eastAsia="仿宋" w:cs="仿宋"/>
          <w:b/>
          <w:bCs/>
          <w:color w:val="auto"/>
          <w:kern w:val="2"/>
          <w:sz w:val="32"/>
          <w:szCs w:val="32"/>
          <w:highlight w:val="none"/>
          <w:u w:val="none"/>
          <w:lang w:val="en-US" w:eastAsia="zh-CN" w:bidi="ar-SA"/>
        </w:rPr>
        <w:t>〕</w:t>
      </w:r>
      <w:r>
        <w:rPr>
          <w:rFonts w:hint="eastAsia" w:ascii="仿宋" w:hAnsi="仿宋" w:eastAsia="仿宋"/>
          <w:b/>
          <w:bCs/>
          <w:kern w:val="0"/>
          <w:sz w:val="32"/>
          <w:szCs w:val="32"/>
          <w:highlight w:val="none"/>
        </w:rPr>
        <w:t>77号）</w:t>
      </w:r>
      <w:r>
        <w:rPr>
          <w:rFonts w:hint="eastAsia" w:ascii="仿宋" w:hAnsi="仿宋" w:eastAsia="仿宋"/>
          <w:kern w:val="0"/>
          <w:sz w:val="32"/>
          <w:szCs w:val="32"/>
          <w:highlight w:val="none"/>
        </w:rPr>
        <w:t>等相关文件精神</w:t>
      </w:r>
      <w:r>
        <w:rPr>
          <w:rFonts w:hint="eastAsia" w:ascii="仿宋" w:hAnsi="仿宋" w:eastAsia="仿宋"/>
          <w:color w:val="000000"/>
          <w:sz w:val="32"/>
          <w:szCs w:val="32"/>
          <w:highlight w:val="none"/>
        </w:rPr>
        <w:t>，结合我院实际，制定本细则。</w:t>
      </w:r>
    </w:p>
    <w:p w14:paraId="70C349E8">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3" w:firstLineChars="200"/>
        <w:textAlignment w:val="auto"/>
        <w:rPr>
          <w:rFonts w:hint="eastAsia" w:ascii="仿宋" w:hAnsi="仿宋"/>
          <w:bCs/>
          <w:color w:val="000000"/>
          <w:highlight w:val="none"/>
        </w:rPr>
      </w:pPr>
      <w:r>
        <w:rPr>
          <w:rFonts w:hint="eastAsia" w:ascii="仿宋" w:hAnsi="仿宋" w:eastAsia="仿宋" w:cs="仿宋"/>
          <w:b/>
          <w:bCs/>
          <w:color w:val="000000"/>
          <w:highlight w:val="none"/>
        </w:rPr>
        <w:t>第一条</w:t>
      </w:r>
      <w:r>
        <w:rPr>
          <w:rFonts w:hint="eastAsia" w:ascii="仿宋" w:hAnsi="仿宋"/>
          <w:bCs/>
          <w:color w:val="000000"/>
          <w:highlight w:val="none"/>
        </w:rPr>
        <w:t xml:space="preserve"> 本科生素质能力测评（以下简称“素质能力测评”）</w:t>
      </w:r>
      <w:r>
        <w:rPr>
          <w:rFonts w:hint="eastAsia" w:ascii="仿宋" w:hAnsi="仿宋"/>
          <w:color w:val="000000"/>
          <w:highlight w:val="none"/>
        </w:rPr>
        <w:t>按照“</w:t>
      </w:r>
      <w:r>
        <w:rPr>
          <w:rFonts w:hint="eastAsia" w:ascii="仿宋" w:hAnsi="仿宋"/>
          <w:bCs/>
          <w:color w:val="000000"/>
          <w:highlight w:val="none"/>
        </w:rPr>
        <w:t>定性与定量相结合，评议与记实相结合</w:t>
      </w:r>
      <w:r>
        <w:rPr>
          <w:rFonts w:hint="eastAsia" w:ascii="仿宋" w:hAnsi="仿宋"/>
          <w:color w:val="000000"/>
          <w:highlight w:val="none"/>
        </w:rPr>
        <w:t>”的原则，</w:t>
      </w:r>
      <w:r>
        <w:rPr>
          <w:rFonts w:hint="eastAsia" w:ascii="仿宋" w:hAnsi="仿宋"/>
          <w:bCs/>
          <w:color w:val="000000"/>
          <w:highlight w:val="none"/>
        </w:rPr>
        <w:t>对学生日常行为表现进行综合评定。</w:t>
      </w:r>
    </w:p>
    <w:p w14:paraId="40FD7AB6">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第二条</w:t>
      </w:r>
      <w:r>
        <w:rPr>
          <w:rFonts w:hint="eastAsia" w:ascii="仿宋" w:hAnsi="仿宋"/>
          <w:b/>
          <w:bCs/>
          <w:color w:val="000000"/>
          <w:highlight w:val="none"/>
        </w:rPr>
        <w:t xml:space="preserve"> </w:t>
      </w:r>
      <w:r>
        <w:rPr>
          <w:rFonts w:hint="eastAsia" w:ascii="仿宋" w:hAnsi="仿宋"/>
          <w:bCs/>
          <w:color w:val="000000"/>
          <w:highlight w:val="none"/>
        </w:rPr>
        <w:t>素质能力测评不包含学生智育成绩，</w:t>
      </w:r>
      <w:r>
        <w:rPr>
          <w:rFonts w:hint="eastAsia" w:ascii="仿宋" w:hAnsi="仿宋"/>
          <w:color w:val="000000"/>
          <w:highlight w:val="none"/>
        </w:rPr>
        <w:t>学生智育成绩以教务处的统计结果为准，本</w:t>
      </w:r>
      <w:r>
        <w:rPr>
          <w:rFonts w:hint="eastAsia" w:ascii="仿宋" w:hAnsi="仿宋"/>
          <w:bCs/>
          <w:color w:val="000000"/>
          <w:highlight w:val="none"/>
        </w:rPr>
        <w:t>细则</w:t>
      </w:r>
      <w:r>
        <w:rPr>
          <w:rFonts w:hint="eastAsia" w:ascii="仿宋" w:hAnsi="仿宋"/>
          <w:color w:val="000000"/>
          <w:highlight w:val="none"/>
        </w:rPr>
        <w:t>不再进行量化测评。</w:t>
      </w:r>
    </w:p>
    <w:p w14:paraId="0CE52C53">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第三条</w:t>
      </w:r>
      <w:r>
        <w:rPr>
          <w:rFonts w:hint="eastAsia" w:ascii="仿宋" w:hAnsi="仿宋"/>
          <w:b/>
          <w:bCs/>
          <w:color w:val="000000"/>
          <w:highlight w:val="none"/>
        </w:rPr>
        <w:t xml:space="preserve"> </w:t>
      </w:r>
      <w:r>
        <w:rPr>
          <w:rFonts w:hint="eastAsia" w:ascii="仿宋" w:hAnsi="仿宋"/>
          <w:color w:val="000000"/>
          <w:highlight w:val="none"/>
        </w:rPr>
        <w:t>素质能力测评成绩在各类评奖评优、毕业生就业推荐及推荐免试攻读研究生工作中综合使用。</w:t>
      </w:r>
    </w:p>
    <w:p w14:paraId="46EF1419">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第四条</w:t>
      </w:r>
      <w:r>
        <w:rPr>
          <w:rFonts w:hint="eastAsia" w:ascii="仿宋" w:hAnsi="仿宋"/>
          <w:b/>
          <w:bCs/>
          <w:color w:val="000000"/>
          <w:highlight w:val="none"/>
        </w:rPr>
        <w:t xml:space="preserve"> </w:t>
      </w:r>
      <w:r>
        <w:rPr>
          <w:rFonts w:hint="eastAsia" w:ascii="仿宋" w:hAnsi="仿宋"/>
          <w:color w:val="000000"/>
          <w:highlight w:val="none"/>
        </w:rPr>
        <w:t>凡在籍在读的全日制普通本科生（包括学校派出的访学学生）均应进行素质能力测评。素质能力测评每学年进行一次，一般于新学年开学后一个月内完成。复学学生测评成绩以测评日前累计在校时间一年计。</w:t>
      </w:r>
    </w:p>
    <w:p w14:paraId="1D164F44">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kern w:val="0"/>
          <w:sz w:val="32"/>
          <w:szCs w:val="32"/>
          <w:highlight w:val="none"/>
        </w:rPr>
      </w:pPr>
      <w:r>
        <w:rPr>
          <w:rFonts w:hint="eastAsia" w:ascii="黑体" w:hAnsi="黑体" w:eastAsia="黑体" w:cs="Times New Roman"/>
          <w:kern w:val="0"/>
          <w:sz w:val="32"/>
          <w:szCs w:val="32"/>
          <w:highlight w:val="none"/>
        </w:rPr>
        <w:t>第二章 组织领导</w:t>
      </w:r>
    </w:p>
    <w:p w14:paraId="32E038BA">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第五条</w:t>
      </w:r>
      <w:r>
        <w:rPr>
          <w:rFonts w:hint="eastAsia" w:ascii="仿宋" w:hAnsi="仿宋"/>
          <w:color w:val="000000"/>
          <w:highlight w:val="none"/>
        </w:rPr>
        <w:t xml:space="preserve"> 学院成立学生素质能力测评领导小组（以下简称“领导小组”），成员由主管学生工作领导任组长，各年级辅导员、班主任、分团委及学生分会主要成员组成，统筹负责学院本科生素质能力测评工作。</w:t>
      </w:r>
    </w:p>
    <w:p w14:paraId="628902D9">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第六条</w:t>
      </w:r>
      <w:r>
        <w:rPr>
          <w:rFonts w:hint="eastAsia" w:ascii="仿宋" w:hAnsi="仿宋"/>
          <w:b/>
          <w:bCs/>
          <w:color w:val="000000"/>
          <w:highlight w:val="none"/>
        </w:rPr>
        <w:t xml:space="preserve"> </w:t>
      </w:r>
      <w:r>
        <w:rPr>
          <w:rFonts w:hint="eastAsia" w:ascii="仿宋" w:hAnsi="仿宋"/>
          <w:color w:val="000000"/>
          <w:highlight w:val="none"/>
        </w:rPr>
        <w:t>各学生年级成立素质能力</w:t>
      </w:r>
      <w:r>
        <w:rPr>
          <w:rFonts w:hint="eastAsia" w:ascii="仿宋" w:hAnsi="仿宋"/>
          <w:color w:val="000000"/>
          <w:highlight w:val="none"/>
          <w:lang w:eastAsia="zh-TW"/>
        </w:rPr>
        <w:t>测评</w:t>
      </w:r>
      <w:r>
        <w:rPr>
          <w:rFonts w:hint="eastAsia" w:ascii="仿宋" w:hAnsi="仿宋"/>
          <w:color w:val="000000"/>
          <w:highlight w:val="none"/>
        </w:rPr>
        <w:t>工作小组（以下简称“</w:t>
      </w:r>
      <w:bookmarkStart w:id="0" w:name="_Hlk3814370"/>
      <w:r>
        <w:rPr>
          <w:rFonts w:hint="eastAsia" w:ascii="仿宋" w:hAnsi="仿宋"/>
          <w:color w:val="000000"/>
          <w:highlight w:val="none"/>
        </w:rPr>
        <w:t>素测工作小组</w:t>
      </w:r>
      <w:bookmarkEnd w:id="0"/>
      <w:r>
        <w:rPr>
          <w:rFonts w:hint="eastAsia" w:ascii="仿宋" w:hAnsi="仿宋"/>
          <w:color w:val="000000"/>
          <w:highlight w:val="none"/>
        </w:rPr>
        <w:t>”），负责本年级学生素质能力测评工作。各年级素测工作小组由年级辅导员任组长，各班级素测工作小组组成。各班级素测工作小组由各班班主任担任组长，班长、团支部书记、学生党员（包括入党积极分子）、班级普通成员代表，共5-7人组成。</w:t>
      </w:r>
    </w:p>
    <w:p w14:paraId="1455482C">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第七条</w:t>
      </w:r>
      <w:r>
        <w:rPr>
          <w:rFonts w:hint="eastAsia" w:ascii="仿宋" w:hAnsi="仿宋"/>
          <w:b/>
          <w:bCs/>
          <w:color w:val="000000"/>
          <w:highlight w:val="none"/>
        </w:rPr>
        <w:t xml:space="preserve"> </w:t>
      </w:r>
      <w:r>
        <w:rPr>
          <w:rFonts w:hint="eastAsia" w:ascii="仿宋" w:hAnsi="仿宋"/>
          <w:color w:val="000000"/>
          <w:highlight w:val="none"/>
        </w:rPr>
        <w:t>素测工作小组的职责：</w:t>
      </w:r>
    </w:p>
    <w:p w14:paraId="3B216D88">
      <w:pPr>
        <w:pStyle w:val="23"/>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sz w:val="32"/>
          <w:szCs w:val="32"/>
          <w:highlight w:val="none"/>
          <w:lang w:val="zh-TW" w:eastAsia="zh-TW"/>
        </w:rPr>
      </w:pPr>
      <w:r>
        <w:rPr>
          <w:rFonts w:hint="eastAsia" w:ascii="仿宋" w:hAnsi="仿宋" w:eastAsia="仿宋"/>
          <w:sz w:val="32"/>
          <w:szCs w:val="32"/>
          <w:highlight w:val="none"/>
          <w:lang w:val="zh-TW" w:eastAsia="zh-TW"/>
        </w:rPr>
        <w:t>（一）在领导小组的指导下开展本年级学生素质能力测评工作；</w:t>
      </w:r>
    </w:p>
    <w:p w14:paraId="29DF670A">
      <w:pPr>
        <w:pStyle w:val="5"/>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cs="Times New Roman"/>
          <w:sz w:val="32"/>
          <w:szCs w:val="32"/>
          <w:highlight w:val="none"/>
          <w:lang w:val="zh-TW" w:eastAsia="zh-TW"/>
        </w:rPr>
      </w:pPr>
      <w:r>
        <w:rPr>
          <w:rFonts w:hint="eastAsia" w:ascii="仿宋" w:hAnsi="仿宋" w:eastAsia="仿宋" w:cs="Times New Roman"/>
          <w:sz w:val="32"/>
          <w:szCs w:val="32"/>
          <w:highlight w:val="none"/>
          <w:lang w:val="zh-TW" w:eastAsia="zh-TW"/>
        </w:rPr>
        <w:t>（二）负责审查核准相关测评数据；</w:t>
      </w:r>
    </w:p>
    <w:p w14:paraId="5D565F87">
      <w:pPr>
        <w:pStyle w:val="5"/>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cs="Times New Roman"/>
          <w:sz w:val="32"/>
          <w:szCs w:val="32"/>
          <w:highlight w:val="none"/>
          <w:lang w:val="zh-TW" w:eastAsia="zh-TW"/>
        </w:rPr>
      </w:pPr>
      <w:r>
        <w:rPr>
          <w:rFonts w:hint="eastAsia" w:ascii="仿宋" w:hAnsi="仿宋" w:eastAsia="仿宋" w:cs="Times New Roman"/>
          <w:sz w:val="32"/>
          <w:szCs w:val="32"/>
          <w:highlight w:val="none"/>
          <w:lang w:val="zh-TW" w:eastAsia="zh-TW"/>
        </w:rPr>
        <w:t>（三）协调统一本专业班级间的测评工作；</w:t>
      </w:r>
    </w:p>
    <w:p w14:paraId="4459F6F7">
      <w:pPr>
        <w:pStyle w:val="5"/>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cs="Times New Roman"/>
          <w:sz w:val="32"/>
          <w:szCs w:val="32"/>
          <w:highlight w:val="none"/>
          <w:lang w:val="zh-TW" w:eastAsia="zh-TW"/>
        </w:rPr>
      </w:pPr>
      <w:r>
        <w:rPr>
          <w:rFonts w:hint="eastAsia" w:ascii="仿宋" w:hAnsi="仿宋" w:eastAsia="仿宋" w:cs="Times New Roman"/>
          <w:sz w:val="32"/>
          <w:szCs w:val="32"/>
          <w:highlight w:val="none"/>
          <w:lang w:val="zh-TW" w:eastAsia="zh-TW"/>
        </w:rPr>
        <w:t>（四）做好素质能力测评互评分等支撑材料的记录、收集、整理、保存工作</w:t>
      </w:r>
      <w:r>
        <w:rPr>
          <w:rFonts w:hint="eastAsia" w:ascii="仿宋" w:hAnsi="仿宋" w:eastAsia="仿宋" w:cs="Times New Roman"/>
          <w:sz w:val="32"/>
          <w:szCs w:val="32"/>
          <w:highlight w:val="none"/>
          <w:lang w:val="zh-TW"/>
        </w:rPr>
        <w:t>；</w:t>
      </w:r>
    </w:p>
    <w:p w14:paraId="31719F2D">
      <w:pPr>
        <w:pStyle w:val="5"/>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cs="Times New Roman"/>
          <w:sz w:val="32"/>
          <w:szCs w:val="32"/>
          <w:highlight w:val="none"/>
          <w:lang w:val="zh-TW"/>
        </w:rPr>
      </w:pPr>
      <w:r>
        <w:rPr>
          <w:rFonts w:hint="eastAsia" w:ascii="仿宋" w:hAnsi="仿宋" w:eastAsia="仿宋" w:cs="Times New Roman"/>
          <w:sz w:val="32"/>
          <w:szCs w:val="32"/>
          <w:highlight w:val="none"/>
          <w:lang w:val="zh-TW" w:eastAsia="zh-TW"/>
        </w:rPr>
        <w:t>（五）填报</w:t>
      </w:r>
      <w:r>
        <w:rPr>
          <w:rFonts w:hint="eastAsia" w:ascii="仿宋" w:hAnsi="仿宋" w:eastAsia="仿宋" w:cs="Times New Roman"/>
          <w:sz w:val="32"/>
          <w:szCs w:val="32"/>
          <w:highlight w:val="none"/>
          <w:lang w:val="zh-TW"/>
        </w:rPr>
        <w:t>素质能力测评</w:t>
      </w:r>
      <w:r>
        <w:rPr>
          <w:rFonts w:hint="eastAsia" w:ascii="仿宋" w:hAnsi="仿宋" w:eastAsia="仿宋" w:cs="Times New Roman"/>
          <w:sz w:val="32"/>
          <w:szCs w:val="32"/>
          <w:highlight w:val="none"/>
          <w:lang w:val="zh-TW" w:eastAsia="zh-TW"/>
        </w:rPr>
        <w:t>工作</w:t>
      </w:r>
      <w:r>
        <w:rPr>
          <w:rFonts w:hint="eastAsia" w:ascii="仿宋" w:hAnsi="仿宋" w:eastAsia="仿宋" w:cs="Times New Roman"/>
          <w:sz w:val="32"/>
          <w:szCs w:val="32"/>
          <w:highlight w:val="none"/>
          <w:lang w:val="zh-TW"/>
        </w:rPr>
        <w:t>中</w:t>
      </w:r>
      <w:r>
        <w:rPr>
          <w:rFonts w:hint="eastAsia" w:ascii="仿宋" w:hAnsi="仿宋" w:eastAsia="仿宋" w:cs="Times New Roman"/>
          <w:sz w:val="32"/>
          <w:szCs w:val="32"/>
          <w:highlight w:val="none"/>
          <w:lang w:val="zh-TW" w:eastAsia="zh-TW"/>
        </w:rPr>
        <w:t>有关表格并汇总存档</w:t>
      </w:r>
      <w:r>
        <w:rPr>
          <w:rFonts w:hint="eastAsia" w:ascii="仿宋" w:hAnsi="仿宋" w:eastAsia="仿宋" w:cs="Times New Roman"/>
          <w:sz w:val="32"/>
          <w:szCs w:val="32"/>
          <w:highlight w:val="none"/>
          <w:lang w:val="zh-TW"/>
        </w:rPr>
        <w:t>；</w:t>
      </w:r>
    </w:p>
    <w:p w14:paraId="39D36D3E">
      <w:pPr>
        <w:pStyle w:val="5"/>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cs="Times New Roman"/>
          <w:sz w:val="32"/>
          <w:szCs w:val="32"/>
          <w:highlight w:val="none"/>
          <w:lang w:val="zh-TW"/>
        </w:rPr>
      </w:pPr>
      <w:r>
        <w:rPr>
          <w:rFonts w:hint="eastAsia" w:ascii="仿宋" w:hAnsi="仿宋" w:eastAsia="仿宋" w:cs="Times New Roman"/>
          <w:sz w:val="32"/>
          <w:szCs w:val="32"/>
          <w:highlight w:val="none"/>
          <w:lang w:val="zh-TW"/>
        </w:rPr>
        <w:t>（六）对班级测评结果解释说明。</w:t>
      </w:r>
    </w:p>
    <w:p w14:paraId="1FB804C7">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rPr>
          <w:rFonts w:hint="eastAsia" w:ascii="仿宋" w:hAnsi="仿宋" w:eastAsia="仿宋"/>
          <w:sz w:val="32"/>
          <w:szCs w:val="32"/>
          <w:highlight w:val="none"/>
        </w:rPr>
      </w:pPr>
      <w:r>
        <w:rPr>
          <w:rFonts w:hint="eastAsia" w:ascii="仿宋" w:hAnsi="仿宋" w:eastAsia="仿宋" w:cs="仿宋"/>
          <w:b/>
          <w:bCs/>
          <w:color w:val="000000"/>
          <w:kern w:val="2"/>
          <w:sz w:val="32"/>
          <w:szCs w:val="32"/>
          <w:highlight w:val="none"/>
          <w:lang w:val="en-US" w:eastAsia="zh-CN" w:bidi="ar-SA"/>
        </w:rPr>
        <w:t>第八条</w:t>
      </w: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val="zh-TW"/>
        </w:rPr>
        <w:t>学生素质能力测评数据主要来源于《西北农林科技大学大学生第二课堂成绩单》和学生个人提供的支撑材料，资料时间范围为当年9月1日之前，测评内容中凡同一项目加减分，就高认定，不重复认定。</w:t>
      </w:r>
    </w:p>
    <w:p w14:paraId="12F7F70A">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第九条</w:t>
      </w:r>
      <w:r>
        <w:rPr>
          <w:rFonts w:hint="eastAsia" w:ascii="仿宋" w:hAnsi="仿宋"/>
          <w:b/>
          <w:bCs/>
          <w:color w:val="000000"/>
          <w:highlight w:val="none"/>
        </w:rPr>
        <w:t xml:space="preserve"> </w:t>
      </w:r>
      <w:r>
        <w:rPr>
          <w:rFonts w:hint="eastAsia" w:ascii="仿宋" w:hAnsi="仿宋"/>
          <w:color w:val="000000"/>
          <w:highlight w:val="none"/>
          <w:lang w:val="zh-TW"/>
        </w:rPr>
        <w:t>学生素质能力测评</w:t>
      </w:r>
      <w:r>
        <w:rPr>
          <w:rFonts w:hint="eastAsia" w:ascii="仿宋" w:hAnsi="仿宋"/>
          <w:color w:val="000000"/>
          <w:highlight w:val="none"/>
        </w:rPr>
        <w:t>程序：</w:t>
      </w:r>
    </w:p>
    <w:p w14:paraId="4893FD9E">
      <w:pPr>
        <w:pStyle w:val="23"/>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sz w:val="32"/>
          <w:szCs w:val="32"/>
          <w:highlight w:val="none"/>
          <w:lang w:val="zh-TW" w:eastAsia="zh-TW"/>
        </w:rPr>
      </w:pPr>
      <w:r>
        <w:rPr>
          <w:rFonts w:hint="eastAsia" w:ascii="仿宋" w:hAnsi="仿宋" w:eastAsia="仿宋"/>
          <w:sz w:val="32"/>
          <w:szCs w:val="32"/>
          <w:highlight w:val="none"/>
          <w:lang w:val="zh-TW" w:eastAsia="zh-TW"/>
        </w:rPr>
        <w:t>（一）学生根据学院测评细则</w:t>
      </w:r>
      <w:r>
        <w:rPr>
          <w:rFonts w:hint="eastAsia" w:ascii="仿宋" w:hAnsi="仿宋" w:eastAsia="仿宋"/>
          <w:sz w:val="32"/>
          <w:szCs w:val="32"/>
          <w:highlight w:val="none"/>
          <w:lang w:val="zh-TW"/>
        </w:rPr>
        <w:t>提供个人相关</w:t>
      </w:r>
      <w:r>
        <w:rPr>
          <w:rFonts w:hint="eastAsia" w:ascii="仿宋" w:hAnsi="仿宋" w:eastAsia="仿宋"/>
          <w:sz w:val="32"/>
          <w:szCs w:val="32"/>
          <w:highlight w:val="none"/>
        </w:rPr>
        <w:t>支撑</w:t>
      </w:r>
      <w:r>
        <w:rPr>
          <w:rFonts w:hint="eastAsia" w:ascii="仿宋" w:hAnsi="仿宋" w:eastAsia="仿宋"/>
          <w:sz w:val="32"/>
          <w:szCs w:val="32"/>
          <w:highlight w:val="none"/>
          <w:lang w:val="zh-TW"/>
        </w:rPr>
        <w:t>材料</w:t>
      </w:r>
      <w:r>
        <w:rPr>
          <w:rFonts w:hint="eastAsia" w:ascii="仿宋" w:hAnsi="仿宋" w:eastAsia="仿宋"/>
          <w:sz w:val="32"/>
          <w:szCs w:val="32"/>
          <w:highlight w:val="none"/>
          <w:lang w:val="zh-TW" w:eastAsia="zh-TW"/>
        </w:rPr>
        <w:t>；</w:t>
      </w:r>
    </w:p>
    <w:p w14:paraId="42F2C82A">
      <w:pPr>
        <w:pStyle w:val="23"/>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sz w:val="32"/>
          <w:szCs w:val="32"/>
          <w:highlight w:val="none"/>
          <w:lang w:val="zh-TW" w:eastAsia="zh-TW"/>
        </w:rPr>
      </w:pPr>
      <w:r>
        <w:rPr>
          <w:rFonts w:hint="eastAsia" w:ascii="仿宋" w:hAnsi="仿宋" w:eastAsia="仿宋"/>
          <w:sz w:val="32"/>
          <w:szCs w:val="32"/>
          <w:highlight w:val="none"/>
          <w:lang w:val="zh-TW" w:eastAsia="zh-TW"/>
        </w:rPr>
        <w:t>（二）素测工作组</w:t>
      </w:r>
      <w:r>
        <w:rPr>
          <w:rFonts w:hint="eastAsia" w:ascii="仿宋" w:hAnsi="仿宋" w:eastAsia="仿宋"/>
          <w:sz w:val="32"/>
          <w:szCs w:val="32"/>
          <w:highlight w:val="none"/>
          <w:lang w:val="zh-TW"/>
        </w:rPr>
        <w:t>对学生提供的相关材料进行审核和统计后，</w:t>
      </w:r>
      <w:r>
        <w:rPr>
          <w:rFonts w:hint="eastAsia" w:ascii="仿宋" w:hAnsi="仿宋" w:eastAsia="仿宋"/>
          <w:sz w:val="32"/>
          <w:szCs w:val="32"/>
          <w:highlight w:val="none"/>
          <w:lang w:val="zh-TW" w:eastAsia="zh-TW"/>
        </w:rPr>
        <w:t>生成学生测评成绩</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专业年级排名</w:t>
      </w:r>
      <w:r>
        <w:rPr>
          <w:rFonts w:hint="eastAsia" w:ascii="仿宋" w:hAnsi="仿宋" w:eastAsia="仿宋"/>
          <w:sz w:val="32"/>
          <w:szCs w:val="32"/>
          <w:highlight w:val="none"/>
          <w:lang w:val="zh-TW"/>
        </w:rPr>
        <w:t>、班级排名</w:t>
      </w:r>
      <w:r>
        <w:rPr>
          <w:rFonts w:hint="eastAsia" w:ascii="仿宋" w:hAnsi="仿宋" w:eastAsia="仿宋"/>
          <w:sz w:val="32"/>
          <w:szCs w:val="32"/>
          <w:highlight w:val="none"/>
          <w:lang w:val="zh-TW" w:eastAsia="zh-TW"/>
        </w:rPr>
        <w:t>；</w:t>
      </w:r>
    </w:p>
    <w:p w14:paraId="5C9C94BD">
      <w:pPr>
        <w:pStyle w:val="23"/>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sz w:val="32"/>
          <w:szCs w:val="32"/>
          <w:highlight w:val="none"/>
          <w:lang w:val="zh-TW" w:eastAsia="zh-TW"/>
        </w:rPr>
      </w:pPr>
      <w:r>
        <w:rPr>
          <w:rFonts w:hint="eastAsia" w:ascii="仿宋" w:hAnsi="仿宋" w:eastAsia="仿宋"/>
          <w:sz w:val="32"/>
          <w:szCs w:val="32"/>
          <w:highlight w:val="none"/>
          <w:lang w:val="zh-TW" w:eastAsia="zh-TW"/>
        </w:rPr>
        <w:t>（三）素测工作组向学生反馈测评成绩</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专业年级排名</w:t>
      </w:r>
      <w:r>
        <w:rPr>
          <w:rFonts w:hint="eastAsia" w:ascii="仿宋" w:hAnsi="仿宋" w:eastAsia="仿宋"/>
          <w:sz w:val="32"/>
          <w:szCs w:val="32"/>
          <w:highlight w:val="none"/>
          <w:lang w:val="zh-TW"/>
        </w:rPr>
        <w:t>、班级排名，无误后由学生本人签字确认</w:t>
      </w:r>
      <w:r>
        <w:rPr>
          <w:rFonts w:hint="eastAsia" w:ascii="仿宋" w:hAnsi="仿宋" w:eastAsia="仿宋"/>
          <w:sz w:val="32"/>
          <w:szCs w:val="32"/>
          <w:highlight w:val="none"/>
          <w:lang w:val="zh-TW" w:eastAsia="zh-TW"/>
        </w:rPr>
        <w:t>；</w:t>
      </w:r>
    </w:p>
    <w:p w14:paraId="79312458">
      <w:pPr>
        <w:pStyle w:val="23"/>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sz w:val="32"/>
          <w:szCs w:val="32"/>
          <w:highlight w:val="none"/>
          <w:lang w:val="zh-TW"/>
        </w:rPr>
      </w:pPr>
      <w:r>
        <w:rPr>
          <w:rFonts w:hint="eastAsia" w:ascii="仿宋" w:hAnsi="仿宋" w:eastAsia="仿宋"/>
          <w:sz w:val="32"/>
          <w:szCs w:val="32"/>
          <w:highlight w:val="none"/>
          <w:lang w:val="zh-TW" w:eastAsia="zh-TW"/>
        </w:rPr>
        <w:t>（四）素测工作组在各专业年级范围内将学生的</w:t>
      </w:r>
      <w:r>
        <w:rPr>
          <w:rFonts w:hint="eastAsia" w:ascii="仿宋" w:hAnsi="仿宋" w:eastAsia="仿宋"/>
          <w:sz w:val="32"/>
          <w:szCs w:val="32"/>
          <w:highlight w:val="none"/>
          <w:lang w:val="zh-TW"/>
        </w:rPr>
        <w:t>测评</w:t>
      </w:r>
      <w:r>
        <w:rPr>
          <w:rFonts w:hint="eastAsia" w:ascii="仿宋" w:hAnsi="仿宋" w:eastAsia="仿宋"/>
          <w:sz w:val="32"/>
          <w:szCs w:val="32"/>
          <w:highlight w:val="none"/>
          <w:lang w:val="zh-TW" w:eastAsia="zh-TW"/>
        </w:rPr>
        <w:t>成绩、详细加分项目明细</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专业年级排名</w:t>
      </w:r>
      <w:r>
        <w:rPr>
          <w:rFonts w:hint="eastAsia" w:ascii="仿宋" w:hAnsi="仿宋" w:eastAsia="仿宋"/>
          <w:sz w:val="32"/>
          <w:szCs w:val="32"/>
          <w:highlight w:val="none"/>
          <w:lang w:val="zh-TW"/>
        </w:rPr>
        <w:t>、班级排名</w:t>
      </w:r>
      <w:r>
        <w:rPr>
          <w:rFonts w:hint="eastAsia" w:ascii="仿宋" w:hAnsi="仿宋" w:eastAsia="仿宋"/>
          <w:sz w:val="32"/>
          <w:szCs w:val="32"/>
          <w:highlight w:val="none"/>
          <w:lang w:val="zh-TW" w:eastAsia="zh-TW"/>
        </w:rPr>
        <w:t>公示</w:t>
      </w:r>
      <w:r>
        <w:rPr>
          <w:rFonts w:hint="eastAsia" w:ascii="仿宋" w:hAnsi="仿宋" w:eastAsia="仿宋"/>
          <w:sz w:val="32"/>
          <w:szCs w:val="32"/>
          <w:highlight w:val="none"/>
          <w:lang w:val="zh-TW"/>
        </w:rPr>
        <w:t>不少于</w:t>
      </w:r>
      <w:r>
        <w:rPr>
          <w:rFonts w:hint="eastAsia" w:ascii="仿宋" w:hAnsi="仿宋" w:eastAsia="仿宋"/>
          <w:sz w:val="32"/>
          <w:szCs w:val="32"/>
          <w:highlight w:val="none"/>
        </w:rPr>
        <w:t>3</w:t>
      </w:r>
      <w:r>
        <w:rPr>
          <w:rFonts w:hint="eastAsia" w:ascii="仿宋" w:hAnsi="仿宋" w:eastAsia="仿宋"/>
          <w:sz w:val="32"/>
          <w:szCs w:val="32"/>
          <w:highlight w:val="none"/>
          <w:lang w:val="zh-TW" w:eastAsia="zh-TW"/>
        </w:rPr>
        <w:t>个工作日。参评学生如有异议，可在</w:t>
      </w:r>
      <w:r>
        <w:rPr>
          <w:rFonts w:hint="eastAsia" w:ascii="仿宋" w:hAnsi="仿宋" w:eastAsia="仿宋"/>
          <w:sz w:val="32"/>
          <w:szCs w:val="32"/>
          <w:highlight w:val="none"/>
          <w:lang w:val="zh-TW"/>
        </w:rPr>
        <w:t>公示期内</w:t>
      </w:r>
      <w:r>
        <w:rPr>
          <w:rFonts w:hint="eastAsia" w:ascii="仿宋" w:hAnsi="仿宋" w:eastAsia="仿宋"/>
          <w:sz w:val="32"/>
          <w:szCs w:val="32"/>
          <w:highlight w:val="none"/>
          <w:lang w:val="zh-TW" w:eastAsia="zh-TW"/>
        </w:rPr>
        <w:t>向测评工作组提出</w:t>
      </w:r>
      <w:r>
        <w:rPr>
          <w:rFonts w:hint="eastAsia" w:ascii="仿宋" w:hAnsi="仿宋" w:eastAsia="仿宋"/>
          <w:sz w:val="32"/>
          <w:szCs w:val="32"/>
          <w:highlight w:val="none"/>
          <w:lang w:val="zh-TW"/>
        </w:rPr>
        <w:t>书面</w:t>
      </w:r>
      <w:r>
        <w:rPr>
          <w:rFonts w:hint="eastAsia" w:ascii="仿宋" w:hAnsi="仿宋" w:eastAsia="仿宋"/>
          <w:sz w:val="32"/>
          <w:szCs w:val="32"/>
          <w:highlight w:val="none"/>
          <w:lang w:val="zh-TW" w:eastAsia="zh-TW"/>
        </w:rPr>
        <w:t>复评</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对复评结果仍有异议者，可向领导小组申诉</w:t>
      </w:r>
      <w:r>
        <w:rPr>
          <w:rFonts w:hint="eastAsia" w:ascii="仿宋" w:hAnsi="仿宋" w:eastAsia="仿宋"/>
          <w:sz w:val="32"/>
          <w:szCs w:val="32"/>
          <w:highlight w:val="none"/>
          <w:lang w:val="zh-TW"/>
        </w:rPr>
        <w:t>，领导小组做出的决议为最终结果；</w:t>
      </w:r>
    </w:p>
    <w:p w14:paraId="7D5F9666">
      <w:pPr>
        <w:pStyle w:val="23"/>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sz w:val="32"/>
          <w:szCs w:val="32"/>
          <w:highlight w:val="none"/>
          <w:lang w:val="zh-TW"/>
        </w:rPr>
      </w:pPr>
      <w:r>
        <w:rPr>
          <w:rFonts w:hint="eastAsia" w:ascii="仿宋" w:hAnsi="仿宋" w:eastAsia="仿宋"/>
          <w:sz w:val="32"/>
          <w:szCs w:val="32"/>
          <w:highlight w:val="none"/>
          <w:lang w:val="zh-TW" w:eastAsia="zh-TW"/>
        </w:rPr>
        <w:t>（五）公示无异议后，素测工作组将</w:t>
      </w:r>
      <w:r>
        <w:rPr>
          <w:rFonts w:hint="eastAsia" w:ascii="仿宋" w:hAnsi="仿宋" w:eastAsia="仿宋"/>
          <w:sz w:val="32"/>
          <w:szCs w:val="32"/>
          <w:highlight w:val="none"/>
          <w:lang w:val="zh-TW"/>
        </w:rPr>
        <w:t>学生测评</w:t>
      </w:r>
      <w:r>
        <w:rPr>
          <w:rFonts w:hint="eastAsia" w:ascii="仿宋" w:hAnsi="仿宋" w:eastAsia="仿宋"/>
          <w:sz w:val="32"/>
          <w:szCs w:val="32"/>
          <w:highlight w:val="none"/>
          <w:lang w:val="zh-TW" w:eastAsia="zh-TW"/>
        </w:rPr>
        <w:t>成绩及排名报送</w:t>
      </w:r>
      <w:r>
        <w:rPr>
          <w:rFonts w:hint="eastAsia" w:ascii="仿宋" w:hAnsi="仿宋" w:eastAsia="仿宋"/>
          <w:sz w:val="32"/>
          <w:szCs w:val="32"/>
          <w:highlight w:val="none"/>
          <w:lang w:val="zh-TW"/>
        </w:rPr>
        <w:t>学院</w:t>
      </w:r>
      <w:r>
        <w:rPr>
          <w:rFonts w:hint="eastAsia" w:ascii="仿宋" w:hAnsi="仿宋" w:eastAsia="仿宋"/>
          <w:sz w:val="32"/>
          <w:szCs w:val="32"/>
          <w:highlight w:val="none"/>
          <w:lang w:val="zh-TW" w:eastAsia="zh-TW"/>
        </w:rPr>
        <w:t>领导小组审核、备案</w:t>
      </w:r>
      <w:r>
        <w:rPr>
          <w:rFonts w:hint="eastAsia" w:ascii="仿宋" w:hAnsi="仿宋" w:eastAsia="仿宋"/>
          <w:sz w:val="32"/>
          <w:szCs w:val="32"/>
          <w:highlight w:val="none"/>
          <w:lang w:val="zh-TW"/>
        </w:rPr>
        <w:t>后以</w:t>
      </w:r>
      <w:r>
        <w:rPr>
          <w:rFonts w:hint="eastAsia" w:ascii="仿宋" w:hAnsi="仿宋" w:eastAsia="仿宋"/>
          <w:sz w:val="32"/>
          <w:szCs w:val="32"/>
          <w:highlight w:val="none"/>
          <w:lang w:val="zh-TW" w:eastAsia="zh-TW"/>
        </w:rPr>
        <w:t>专业年级为单位存档</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组织学生填写《本科生素质能力测评鉴定表》</w:t>
      </w:r>
      <w:r>
        <w:rPr>
          <w:rFonts w:hint="eastAsia" w:ascii="仿宋" w:hAnsi="仿宋" w:eastAsia="仿宋"/>
          <w:sz w:val="32"/>
          <w:szCs w:val="32"/>
          <w:highlight w:val="none"/>
          <w:lang w:val="zh-TW"/>
        </w:rPr>
        <w:t>。</w:t>
      </w:r>
    </w:p>
    <w:p w14:paraId="4DAE416E">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bookmarkStart w:id="1" w:name="_Hlk9584588"/>
      <w:r>
        <w:rPr>
          <w:rFonts w:hint="eastAsia" w:ascii="仿宋" w:hAnsi="仿宋" w:eastAsia="仿宋" w:cs="仿宋"/>
          <w:b/>
          <w:bCs/>
          <w:color w:val="000000"/>
          <w:highlight w:val="none"/>
        </w:rPr>
        <w:t>第十条</w:t>
      </w:r>
      <w:r>
        <w:rPr>
          <w:rFonts w:hint="eastAsia" w:ascii="仿宋" w:hAnsi="仿宋"/>
          <w:b/>
          <w:bCs/>
          <w:color w:val="000000"/>
          <w:highlight w:val="none"/>
        </w:rPr>
        <w:t xml:space="preserve"> </w:t>
      </w:r>
      <w:r>
        <w:rPr>
          <w:rFonts w:hint="eastAsia" w:ascii="仿宋" w:hAnsi="仿宋"/>
          <w:color w:val="000000"/>
          <w:highlight w:val="none"/>
        </w:rPr>
        <w:t>学校派出的访学学生在访学结束前，由学生所在访学院鉴定在访学期间思想政治、品德修养、有无奖惩等方面的表现，并出具综合鉴定意见和访学期间参加活动记录的书面材料。学生回校参加素质能力测评时，由学院领导小组进行认定。</w:t>
      </w:r>
    </w:p>
    <w:bookmarkEnd w:id="1"/>
    <w:p w14:paraId="5DF97679">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textAlignment w:val="auto"/>
        <w:rPr>
          <w:rFonts w:hint="eastAsia" w:ascii="仿宋" w:hAnsi="仿宋" w:eastAsia="仿宋"/>
          <w:kern w:val="0"/>
          <w:sz w:val="32"/>
          <w:szCs w:val="32"/>
          <w:highlight w:val="none"/>
        </w:rPr>
      </w:pPr>
      <w:r>
        <w:rPr>
          <w:rFonts w:hint="eastAsia" w:ascii="仿宋" w:hAnsi="仿宋" w:eastAsia="仿宋" w:cs="仿宋"/>
          <w:b/>
          <w:bCs/>
          <w:color w:val="000000"/>
          <w:kern w:val="2"/>
          <w:sz w:val="32"/>
          <w:szCs w:val="32"/>
          <w:highlight w:val="none"/>
          <w:lang w:val="en-US" w:eastAsia="zh-CN" w:bidi="ar-SA"/>
        </w:rPr>
        <w:t>第十一条</w:t>
      </w:r>
      <w:r>
        <w:rPr>
          <w:rFonts w:hint="eastAsia" w:ascii="仿宋" w:hAnsi="仿宋" w:eastAsia="仿宋"/>
          <w:b/>
          <w:bCs/>
          <w:color w:val="000000"/>
          <w:sz w:val="32"/>
          <w:szCs w:val="32"/>
          <w:highlight w:val="none"/>
        </w:rPr>
        <w:t xml:space="preserve"> </w:t>
      </w:r>
      <w:r>
        <w:rPr>
          <w:rFonts w:hint="eastAsia" w:ascii="仿宋" w:hAnsi="仿宋" w:eastAsia="仿宋"/>
          <w:kern w:val="0"/>
          <w:sz w:val="32"/>
          <w:szCs w:val="32"/>
          <w:highlight w:val="none"/>
        </w:rPr>
        <w:t>测评过程中有循私舞弊、弄虚作假、扰乱测评秩序、妨碍测评正常进行等行为者，一经查实，取消其自受处分之日起一年内参加各类评优、各类奖助学金评定的资格，并根据情节轻重给予院级、校级相应处分，并计入本人档案。</w:t>
      </w:r>
    </w:p>
    <w:p w14:paraId="3A1363FB">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kern w:val="0"/>
          <w:sz w:val="32"/>
          <w:szCs w:val="32"/>
          <w:highlight w:val="none"/>
        </w:rPr>
      </w:pPr>
      <w:r>
        <w:rPr>
          <w:rFonts w:hint="eastAsia" w:ascii="黑体" w:hAnsi="黑体" w:eastAsia="黑体" w:cs="Times New Roman"/>
          <w:kern w:val="0"/>
          <w:sz w:val="32"/>
          <w:szCs w:val="32"/>
          <w:highlight w:val="none"/>
        </w:rPr>
        <w:t>第三章 测评内容</w:t>
      </w:r>
    </w:p>
    <w:p w14:paraId="53303410">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b/>
          <w:bCs/>
          <w:color w:val="000000"/>
          <w:highlight w:val="none"/>
        </w:rPr>
      </w:pPr>
      <w:r>
        <w:rPr>
          <w:rFonts w:hint="eastAsia" w:ascii="仿宋" w:hAnsi="仿宋" w:eastAsia="仿宋" w:cs="仿宋"/>
          <w:b/>
          <w:bCs/>
          <w:color w:val="000000"/>
          <w:highlight w:val="none"/>
        </w:rPr>
        <w:t>第十二条</w:t>
      </w:r>
      <w:r>
        <w:rPr>
          <w:rFonts w:hint="eastAsia" w:ascii="仿宋" w:hAnsi="仿宋"/>
          <w:b/>
          <w:bCs/>
          <w:color w:val="000000"/>
          <w:highlight w:val="none"/>
        </w:rPr>
        <w:t xml:space="preserve"> </w:t>
      </w:r>
      <w:r>
        <w:rPr>
          <w:rFonts w:hint="eastAsia" w:ascii="仿宋" w:hAnsi="仿宋"/>
          <w:color w:val="000000"/>
          <w:highlight w:val="none"/>
        </w:rPr>
        <w:t>素质能力测评满分100分，由</w:t>
      </w:r>
      <w:r>
        <w:rPr>
          <w:rFonts w:hint="eastAsia" w:ascii="仿宋" w:hAnsi="仿宋"/>
          <w:bCs/>
          <w:color w:val="000000"/>
          <w:highlight w:val="none"/>
        </w:rPr>
        <w:t>品德修养（50分）、素质发展（30分）、能力拓展（20分）</w:t>
      </w:r>
      <w:r>
        <w:rPr>
          <w:rFonts w:hint="eastAsia" w:ascii="仿宋" w:hAnsi="仿宋"/>
          <w:color w:val="000000"/>
          <w:highlight w:val="none"/>
        </w:rPr>
        <w:t>三部分组成。</w:t>
      </w:r>
    </w:p>
    <w:p w14:paraId="46AB093D">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第十三条</w:t>
      </w:r>
      <w:r>
        <w:rPr>
          <w:rFonts w:hint="eastAsia" w:ascii="仿宋" w:hAnsi="仿宋"/>
          <w:b/>
          <w:bCs/>
          <w:color w:val="000000"/>
          <w:highlight w:val="none"/>
        </w:rPr>
        <w:t xml:space="preserve"> </w:t>
      </w:r>
      <w:r>
        <w:rPr>
          <w:rFonts w:hint="eastAsia" w:ascii="仿宋" w:hAnsi="仿宋"/>
          <w:color w:val="000000"/>
          <w:highlight w:val="none"/>
        </w:rPr>
        <w:t>品德修养由</w:t>
      </w:r>
      <w:r>
        <w:rPr>
          <w:rFonts w:hint="eastAsia" w:ascii="仿宋" w:hAnsi="仿宋"/>
          <w:bCs/>
          <w:color w:val="000000"/>
          <w:highlight w:val="none"/>
        </w:rPr>
        <w:t>政治立场（5分）、道德品质（5分）、行为修养（40分）</w:t>
      </w:r>
      <w:r>
        <w:rPr>
          <w:rFonts w:hint="eastAsia" w:ascii="仿宋" w:hAnsi="仿宋"/>
          <w:color w:val="000000"/>
          <w:highlight w:val="none"/>
        </w:rPr>
        <w:t>三部分组成。政治立场主要考核政治信念、政治观点、政治方向、思想觉悟等情况；道德品质主要考核道德水准、文明素养、法纪观念等日常表现情况；行为修养主要考核日常行为表现和参加日常集体政治理论学习情况等。</w:t>
      </w:r>
    </w:p>
    <w:p w14:paraId="511A990E">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rPr>
          <w:rFonts w:hint="eastAsia" w:ascii="仿宋" w:hAnsi="仿宋" w:eastAsia="仿宋"/>
          <w:color w:val="000000"/>
          <w:sz w:val="32"/>
          <w:szCs w:val="32"/>
          <w:highlight w:val="none"/>
        </w:rPr>
      </w:pPr>
      <w:r>
        <w:rPr>
          <w:rFonts w:hint="eastAsia" w:ascii="仿宋" w:hAnsi="仿宋" w:eastAsia="仿宋" w:cs="仿宋"/>
          <w:b/>
          <w:bCs/>
          <w:color w:val="000000"/>
          <w:kern w:val="2"/>
          <w:sz w:val="32"/>
          <w:szCs w:val="32"/>
          <w:highlight w:val="none"/>
          <w:lang w:val="en-US" w:eastAsia="zh-CN" w:bidi="ar-SA"/>
        </w:rPr>
        <w:t>第十四条</w:t>
      </w:r>
      <w:r>
        <w:rPr>
          <w:rFonts w:hint="eastAsia" w:ascii="仿宋" w:hAnsi="仿宋" w:eastAsia="仿宋"/>
          <w:b/>
          <w:bCs/>
          <w:color w:val="000000"/>
          <w:sz w:val="32"/>
          <w:szCs w:val="32"/>
          <w:highlight w:val="none"/>
        </w:rPr>
        <w:t xml:space="preserve"> </w:t>
      </w:r>
      <w:r>
        <w:rPr>
          <w:rFonts w:hint="eastAsia" w:ascii="仿宋" w:hAnsi="仿宋" w:eastAsia="仿宋"/>
          <w:color w:val="000000"/>
          <w:sz w:val="32"/>
          <w:szCs w:val="32"/>
          <w:highlight w:val="none"/>
        </w:rPr>
        <w:t>学生政治立场、道德品质方面出现严重问题的，测评时“品德修养”部分成绩计为0分，且不得参与学校各类荣誉表彰项目评选。</w:t>
      </w:r>
    </w:p>
    <w:p w14:paraId="2A270E2D">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第十五条</w:t>
      </w:r>
      <w:r>
        <w:rPr>
          <w:rFonts w:hint="eastAsia" w:ascii="仿宋" w:hAnsi="仿宋"/>
          <w:b/>
          <w:bCs/>
          <w:color w:val="000000"/>
          <w:highlight w:val="none"/>
        </w:rPr>
        <w:t xml:space="preserve"> </w:t>
      </w:r>
      <w:r>
        <w:rPr>
          <w:rFonts w:hint="eastAsia" w:ascii="仿宋" w:hAnsi="仿宋"/>
          <w:color w:val="000000"/>
          <w:highlight w:val="none"/>
        </w:rPr>
        <w:t>素质发展主要考核学生在</w:t>
      </w:r>
      <w:bookmarkStart w:id="2" w:name="_Hlk27401067"/>
      <w:r>
        <w:rPr>
          <w:rFonts w:hint="eastAsia" w:ascii="仿宋" w:hAnsi="仿宋"/>
          <w:color w:val="000000"/>
          <w:highlight w:val="none"/>
        </w:rPr>
        <w:t>体育（10分）、美育（10分）、劳育（10分）三方面</w:t>
      </w:r>
      <w:bookmarkEnd w:id="2"/>
      <w:r>
        <w:rPr>
          <w:rFonts w:hint="eastAsia" w:ascii="仿宋" w:hAnsi="仿宋"/>
          <w:color w:val="000000"/>
          <w:highlight w:val="none"/>
        </w:rPr>
        <w:t>表现情况。</w:t>
      </w:r>
    </w:p>
    <w:p w14:paraId="64A8035A">
      <w:pPr>
        <w:pStyle w:val="2"/>
        <w:keepNext w:val="0"/>
        <w:keepLines w:val="0"/>
        <w:pageBreakBefore w:val="0"/>
        <w:widowControl w:val="0"/>
        <w:numPr>
          <w:ilvl w:val="0"/>
          <w:numId w:val="0"/>
        </w:numPr>
        <w:kinsoku/>
        <w:wordWrap/>
        <w:overflowPunct/>
        <w:topLinePunct w:val="0"/>
        <w:autoSpaceDE/>
        <w:autoSpaceDN/>
        <w:bidi w:val="0"/>
        <w:spacing w:after="120" w:line="560" w:lineRule="exact"/>
        <w:ind w:firstLine="643" w:firstLineChars="200"/>
        <w:textAlignment w:val="auto"/>
        <w:rPr>
          <w:rFonts w:hint="eastAsia" w:ascii="仿宋" w:hAnsi="仿宋"/>
          <w:color w:val="000000"/>
          <w:highlight w:val="none"/>
        </w:rPr>
      </w:pPr>
      <w:r>
        <w:rPr>
          <w:rFonts w:hint="eastAsia" w:ascii="仿宋" w:hAnsi="仿宋" w:eastAsia="仿宋" w:cs="仿宋"/>
          <w:b/>
          <w:bCs/>
          <w:color w:val="000000"/>
          <w:highlight w:val="none"/>
        </w:rPr>
        <w:t>第十六条</w:t>
      </w:r>
      <w:r>
        <w:rPr>
          <w:rFonts w:hint="eastAsia" w:ascii="仿宋" w:hAnsi="仿宋"/>
          <w:b/>
          <w:bCs/>
          <w:color w:val="000000"/>
          <w:highlight w:val="none"/>
        </w:rPr>
        <w:t xml:space="preserve"> </w:t>
      </w:r>
      <w:r>
        <w:rPr>
          <w:rFonts w:hint="eastAsia" w:ascii="仿宋" w:hAnsi="仿宋"/>
          <w:color w:val="000000"/>
          <w:highlight w:val="none"/>
        </w:rPr>
        <w:t>能力拓展主要考核学生在各类实践活动中的表现、各类竞赛活动中的表现和学术成果、科技发明等方面情况。</w:t>
      </w:r>
    </w:p>
    <w:p w14:paraId="0DD4631F">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textAlignment w:val="auto"/>
        <w:rPr>
          <w:rFonts w:hint="eastAsia" w:ascii="仿宋" w:hAnsi="仿宋" w:eastAsia="仿宋"/>
          <w:color w:val="000000"/>
          <w:sz w:val="32"/>
          <w:szCs w:val="32"/>
          <w:highlight w:val="none"/>
        </w:rPr>
      </w:pPr>
      <w:r>
        <w:rPr>
          <w:rFonts w:hint="eastAsia" w:ascii="仿宋" w:hAnsi="仿宋" w:eastAsia="仿宋" w:cs="仿宋"/>
          <w:b/>
          <w:bCs/>
          <w:color w:val="000000"/>
          <w:kern w:val="2"/>
          <w:sz w:val="32"/>
          <w:szCs w:val="32"/>
          <w:highlight w:val="none"/>
          <w:lang w:val="en-US" w:eastAsia="zh-CN" w:bidi="ar-SA"/>
        </w:rPr>
        <w:t>第十七条</w:t>
      </w:r>
      <w:r>
        <w:rPr>
          <w:rFonts w:hint="eastAsia" w:ascii="仿宋" w:hAnsi="仿宋" w:eastAsia="仿宋"/>
          <w:b/>
          <w:color w:val="000000"/>
          <w:sz w:val="32"/>
          <w:szCs w:val="32"/>
          <w:highlight w:val="none"/>
        </w:rPr>
        <w:t xml:space="preserve"> </w:t>
      </w:r>
      <w:r>
        <w:rPr>
          <w:rFonts w:hint="eastAsia" w:ascii="仿宋" w:hAnsi="仿宋" w:eastAsia="仿宋"/>
          <w:color w:val="000000"/>
          <w:sz w:val="32"/>
          <w:szCs w:val="32"/>
          <w:highlight w:val="none"/>
        </w:rPr>
        <w:t>学生在品德修养、素质发展和能力拓展等方面有重大典型事迹或为学校作出重大突出贡献的，经学院领导小组上报学校学生思想政治工作组研究同意，可在学生个人素质能力测评总成绩基础上再给予不超过5分的加分。</w:t>
      </w:r>
    </w:p>
    <w:p w14:paraId="7245DB51">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kern w:val="0"/>
          <w:sz w:val="32"/>
          <w:szCs w:val="32"/>
          <w:highlight w:val="none"/>
        </w:rPr>
      </w:pPr>
      <w:r>
        <w:rPr>
          <w:rFonts w:hint="eastAsia" w:ascii="黑体" w:hAnsi="黑体" w:eastAsia="黑体" w:cs="Times New Roman"/>
          <w:kern w:val="0"/>
          <w:sz w:val="32"/>
          <w:szCs w:val="32"/>
          <w:highlight w:val="none"/>
        </w:rPr>
        <w:t>第四章 评分标准</w:t>
      </w:r>
    </w:p>
    <w:p w14:paraId="6C4EBC48">
      <w:pPr>
        <w:pStyle w:val="3"/>
        <w:keepNext w:val="0"/>
        <w:keepLines w:val="0"/>
        <w:pageBreakBefore w:val="0"/>
        <w:wordWrap/>
        <w:overflowPunct/>
        <w:topLinePunct w:val="0"/>
        <w:bidi w:val="0"/>
        <w:spacing w:after="120" w:line="560" w:lineRule="exact"/>
        <w:ind w:left="0" w:leftChars="0" w:firstLine="640" w:firstLineChars="200"/>
        <w:rPr>
          <w:rFonts w:hint="eastAsia" w:ascii="楷体" w:hAnsi="楷体" w:eastAsia="楷体" w:cs="楷体"/>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US" w:eastAsia="zh-CN" w:bidi="ar-SA"/>
        </w:rPr>
        <w:t>一、品德修养（50分）</w:t>
      </w:r>
    </w:p>
    <w:p w14:paraId="5716D02C">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主要考核学生政治立场、道德品质和政治理论素养情况，并在此基础上根据学生日常表现设置加分项和扣分项，该项总分不超过50分。</w:t>
      </w:r>
    </w:p>
    <w:p w14:paraId="3017B74B">
      <w:pPr>
        <w:pStyle w:val="3"/>
        <w:keepNext w:val="0"/>
        <w:keepLines w:val="0"/>
        <w:pageBreakBefore w:val="0"/>
        <w:numPr>
          <w:ilvl w:val="0"/>
          <w:numId w:val="0"/>
        </w:numPr>
        <w:tabs>
          <w:tab w:val="left" w:pos="1418"/>
        </w:tabs>
        <w:wordWrap/>
        <w:overflowPunct/>
        <w:topLinePunct w:val="0"/>
        <w:bidi w:val="0"/>
        <w:spacing w:after="120" w:line="560" w:lineRule="exact"/>
        <w:ind w:leftChars="200"/>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lang w:val="en-US" w:eastAsia="zh-CN"/>
        </w:rPr>
        <w:t>一</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rPr>
        <w:t>政治立场（5分）</w:t>
      </w:r>
    </w:p>
    <w:p w14:paraId="50CC80D6">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bCs/>
          <w:sz w:val="32"/>
          <w:szCs w:val="32"/>
          <w:highlight w:val="none"/>
        </w:rPr>
      </w:pPr>
      <w:r>
        <w:rPr>
          <w:rFonts w:hint="eastAsia" w:ascii="仿宋" w:hAnsi="仿宋" w:eastAsia="仿宋"/>
          <w:kern w:val="0"/>
          <w:sz w:val="32"/>
          <w:szCs w:val="32"/>
          <w:highlight w:val="none"/>
        </w:rPr>
        <w:t>班级素测工作小组在全面了解班级学生的基础上，根据学生日常政治生活表现进行综合评价赋分，评价标准如下：</w:t>
      </w:r>
    </w:p>
    <w:p w14:paraId="240FCB3A">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（1）坚持四项基本原则，热爱祖国，热爱人民，有坚定的理想信念，坚持正确的政治方向，拥护中国共产党的领导和党的基本路线、方针、政策；（2分）</w:t>
      </w:r>
    </w:p>
    <w:p w14:paraId="5204EF12">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（2）关心国家大事，明辨是非，具有坚定的政治立场；（2分）</w:t>
      </w:r>
    </w:p>
    <w:p w14:paraId="0A5F34A4">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（3）自觉加强政治修养，政治上积极追求进步。（1分）</w:t>
      </w:r>
    </w:p>
    <w:p w14:paraId="1A88A8E8">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其中，存在无故缺席政治理论学习，此项分数最高不超3分。</w:t>
      </w:r>
    </w:p>
    <w:p w14:paraId="0B98C7DF">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sz w:val="32"/>
          <w:szCs w:val="32"/>
          <w:highlight w:val="none"/>
        </w:rPr>
      </w:pPr>
      <w:r>
        <w:rPr>
          <w:rFonts w:hint="eastAsia" w:ascii="仿宋" w:hAnsi="仿宋" w:eastAsia="仿宋"/>
          <w:b w:val="0"/>
          <w:bCs/>
          <w:sz w:val="32"/>
          <w:szCs w:val="32"/>
          <w:highlight w:val="none"/>
        </w:rPr>
        <w:t>（二）道德品质（5分）</w:t>
      </w:r>
    </w:p>
    <w:p w14:paraId="4581F0DB">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bCs/>
          <w:sz w:val="32"/>
          <w:szCs w:val="32"/>
          <w:highlight w:val="none"/>
        </w:rPr>
      </w:pPr>
      <w:r>
        <w:rPr>
          <w:rFonts w:hint="eastAsia" w:ascii="仿宋" w:hAnsi="仿宋" w:eastAsia="仿宋"/>
          <w:kern w:val="0"/>
          <w:sz w:val="32"/>
          <w:szCs w:val="32"/>
          <w:highlight w:val="none"/>
        </w:rPr>
        <w:t>班级素测工作小组在全面了解班级学生的基础上，根据学生日常政治生活表现进行综合评价赋分，评价标准如下：</w:t>
      </w:r>
    </w:p>
    <w:p w14:paraId="0D217C7E">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（1）树立正确的世界观、人生观和价值观，弘扬爱国主义、社会主义、集体主义精神；（1分）</w:t>
      </w:r>
    </w:p>
    <w:p w14:paraId="36EAD294">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（2）遵守国家法律法规、校纪校规，学年内未受到任何处分；（2分）（以学院记录为准）</w:t>
      </w:r>
    </w:p>
    <w:p w14:paraId="54943DE8">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rPr>
        <w:t>（3）拥有良好的集体观念和团结意识，能正确处理个人与集体关系，积极参加集体活动，敢于担当，不无故缺席重大集体活动。（2分）（以班级考勤记录为准）</w:t>
      </w:r>
    </w:p>
    <w:p w14:paraId="56DE2CF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其中学年内受到院级各项处分或处理，该项得分不超过3分，受到校级各项处分或处理，该项得分为0分。</w:t>
      </w:r>
    </w:p>
    <w:p w14:paraId="45847270">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sz w:val="32"/>
          <w:szCs w:val="32"/>
          <w:highlight w:val="none"/>
        </w:rPr>
      </w:pPr>
      <w:r>
        <w:rPr>
          <w:rFonts w:hint="eastAsia" w:ascii="仿宋" w:hAnsi="仿宋" w:eastAsia="仿宋"/>
          <w:b w:val="0"/>
          <w:bCs/>
          <w:color w:val="000000"/>
          <w:sz w:val="32"/>
          <w:szCs w:val="32"/>
          <w:highlight w:val="none"/>
        </w:rPr>
        <w:t>（三）行为修养（40分）</w:t>
      </w:r>
    </w:p>
    <w:p w14:paraId="73F6F35F">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1.日常行为表现情况（20分）</w:t>
      </w:r>
    </w:p>
    <w:p w14:paraId="4C8EB9BE">
      <w:pPr>
        <w:keepNext w:val="0"/>
        <w:keepLines w:val="0"/>
        <w:pageBreakBefore w:val="0"/>
        <w:wordWrap/>
        <w:overflowPunct/>
        <w:topLinePunct w:val="0"/>
        <w:bidi w:val="0"/>
        <w:spacing w:after="120" w:line="560" w:lineRule="exact"/>
        <w:ind w:firstLine="640" w:firstLineChars="200"/>
        <w:rPr>
          <w:rFonts w:hint="eastAsia" w:ascii="仿宋" w:hAnsi="仿宋" w:eastAsia="仿宋"/>
          <w:b/>
          <w:color w:val="000000"/>
          <w:sz w:val="32"/>
          <w:szCs w:val="32"/>
          <w:highlight w:val="none"/>
        </w:rPr>
      </w:pPr>
      <w:r>
        <w:rPr>
          <w:rFonts w:hint="eastAsia" w:ascii="仿宋" w:hAnsi="仿宋" w:eastAsia="仿宋"/>
          <w:sz w:val="32"/>
          <w:szCs w:val="32"/>
          <w:highlight w:val="none"/>
        </w:rPr>
        <w:t>（1）</w:t>
      </w:r>
      <w:r>
        <w:rPr>
          <w:rFonts w:hint="eastAsia" w:ascii="仿宋" w:hAnsi="仿宋" w:eastAsia="仿宋"/>
          <w:color w:val="000000"/>
          <w:spacing w:val="-10"/>
          <w:sz w:val="32"/>
          <w:szCs w:val="32"/>
          <w:highlight w:val="none"/>
        </w:rPr>
        <w:t>诚实守信、团结友爱、与人为善；（3分）</w:t>
      </w:r>
    </w:p>
    <w:p w14:paraId="384052A4">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（2）穿戴整洁大方，男女交往行为得体，举止文明谈吐文雅，不参与打架斗殴、酗酒、赌博等不文明行为；（2分）</w:t>
      </w:r>
    </w:p>
    <w:p w14:paraId="515A6502">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（3）严于律己，宽于待人，尊敬师长，团结同学；（2分）</w:t>
      </w:r>
    </w:p>
    <w:p w14:paraId="3C5AFE89">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（4）积极参加校、院系以及班级组织的集体活动（以班级考勤记录为准，有缺勤者此项不超过1.8分）；（3分）</w:t>
      </w:r>
    </w:p>
    <w:p w14:paraId="13902549">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（5）珍惜公共财物和教学科研设备，保护公共设施，爱护花草树木，尊重他人劳动成果；（2分）</w:t>
      </w:r>
    </w:p>
    <w:p w14:paraId="537FE906">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（6）遵守宿舍管理规定，按时归宿就寝，不影响他人正常学习和休息；不在宿舍做饭，不使用大功率违规电器，不损毁和私自拆装宿舍设施；（参考辅导员查寝记录和学校相关部门检查记录）（2分）</w:t>
      </w:r>
    </w:p>
    <w:p w14:paraId="2AA056FE">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sz w:val="32"/>
          <w:szCs w:val="32"/>
          <w:highlight w:val="none"/>
        </w:rPr>
        <w:t>（7）</w:t>
      </w:r>
      <w:r>
        <w:rPr>
          <w:rFonts w:hint="eastAsia" w:ascii="仿宋" w:hAnsi="仿宋" w:eastAsia="仿宋"/>
          <w:kern w:val="0"/>
          <w:sz w:val="32"/>
          <w:szCs w:val="32"/>
          <w:highlight w:val="none"/>
        </w:rPr>
        <w:t>有良好的生活和卫生习惯，勤俭节约</w:t>
      </w:r>
      <w:r>
        <w:rPr>
          <w:rFonts w:hint="eastAsia" w:ascii="仿宋" w:hAnsi="仿宋" w:eastAsia="仿宋" w:cs="宋体"/>
          <w:kern w:val="0"/>
          <w:sz w:val="32"/>
          <w:szCs w:val="32"/>
          <w:highlight w:val="none"/>
        </w:rPr>
        <w:t>；</w:t>
      </w:r>
      <w:r>
        <w:rPr>
          <w:rFonts w:hint="eastAsia" w:ascii="仿宋" w:hAnsi="仿宋" w:eastAsia="仿宋"/>
          <w:kern w:val="0"/>
          <w:sz w:val="32"/>
          <w:szCs w:val="32"/>
          <w:highlight w:val="none"/>
        </w:rPr>
        <w:t>自觉清扫宿舍卫生，不随地吐痰、乱扔垃圾、乱贴乱画，爱护公共区域卫生；（1分）</w:t>
      </w:r>
    </w:p>
    <w:p w14:paraId="426FA1DF">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（8）遵守课堂纪律，不迟到、不早退、不旷课。（5分）</w:t>
      </w:r>
      <w:r>
        <w:rPr>
          <w:rFonts w:hint="eastAsia" w:ascii="仿宋" w:hAnsi="仿宋" w:eastAsia="仿宋"/>
          <w:sz w:val="32"/>
          <w:szCs w:val="32"/>
          <w:highlight w:val="none"/>
        </w:rPr>
        <w:t>（</w:t>
      </w:r>
      <w:r>
        <w:rPr>
          <w:rFonts w:hint="eastAsia" w:ascii="仿宋" w:hAnsi="仿宋" w:eastAsia="仿宋" w:cs="宋体"/>
          <w:sz w:val="32"/>
          <w:szCs w:val="32"/>
          <w:highlight w:val="none"/>
        </w:rPr>
        <w:t>出现以下情况者，迟到、早退一次扣0.5分,旷课一次扣1分，扣完为止）</w:t>
      </w:r>
    </w:p>
    <w:p w14:paraId="3353CB4C">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如出现聚众斗殴、破坏公共设施、辱骂同学、不尊重老师等行为，后果严重的，日常行为表现情况分数0分。</w:t>
      </w:r>
    </w:p>
    <w:p w14:paraId="0280E6CC">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前7项得分由</w:t>
      </w:r>
      <w:r>
        <w:rPr>
          <w:rFonts w:hint="eastAsia" w:ascii="仿宋" w:hAnsi="仿宋" w:eastAsia="仿宋"/>
          <w:sz w:val="32"/>
          <w:szCs w:val="32"/>
          <w:highlight w:val="none"/>
        </w:rPr>
        <w:t>班级素测工作小组组织班级同学评议</w:t>
      </w:r>
      <w:r>
        <w:rPr>
          <w:rFonts w:hint="eastAsia" w:ascii="仿宋" w:hAnsi="仿宋" w:eastAsia="仿宋"/>
          <w:color w:val="000000"/>
          <w:sz w:val="32"/>
          <w:szCs w:val="32"/>
          <w:highlight w:val="none"/>
        </w:rPr>
        <w:t>赋分，扣分项由学生会相关部门给出，第（8）项得分由学生分会相关部门的课堂检查、抽查记录和任课教师考勤记录等情况计分。</w:t>
      </w:r>
    </w:p>
    <w:p w14:paraId="35D74350">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2.日常集体政治理论学习情况（20分）</w:t>
      </w:r>
    </w:p>
    <w:p w14:paraId="17A37BE2">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（1）学习表现（15分）</w:t>
      </w:r>
    </w:p>
    <w:p w14:paraId="668F261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由班级素测工作小组根据学生集体政治理论学习情况进行赋分，评价标准如下：</w:t>
      </w:r>
    </w:p>
    <w:p w14:paraId="04799ACD">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1.按时参加政治理论学习，全勤得6分，未按时参加一次扣2.5分，事假每次扣0.5分，病假不扣分，扣完为止。</w:t>
      </w:r>
    </w:p>
    <w:p w14:paraId="17ABB233">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2.积极交流发言，发言次数多于班级平均发言次数计5分，低于平均发言次数计3分，没有发言者计0分，团支部书记根据记录情况进行赋分。</w:t>
      </w:r>
    </w:p>
    <w:p w14:paraId="65EB2DBE">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s="宋体"/>
          <w:spacing w:val="-4"/>
          <w:sz w:val="32"/>
          <w:szCs w:val="32"/>
          <w:highlight w:val="none"/>
        </w:rPr>
      </w:pPr>
      <w:r>
        <w:rPr>
          <w:rFonts w:hint="eastAsia" w:ascii="仿宋" w:hAnsi="仿宋" w:eastAsia="仿宋" w:cs="宋体"/>
          <w:color w:val="000000"/>
          <w:sz w:val="32"/>
          <w:szCs w:val="32"/>
          <w:highlight w:val="none"/>
        </w:rPr>
        <w:t>3.</w:t>
      </w:r>
      <w:r>
        <w:rPr>
          <w:rFonts w:hint="eastAsia" w:ascii="仿宋" w:hAnsi="仿宋" w:eastAsia="仿宋" w:cs="宋体"/>
          <w:spacing w:val="-8"/>
          <w:sz w:val="32"/>
          <w:szCs w:val="32"/>
          <w:highlight w:val="none"/>
        </w:rPr>
        <w:t>按</w:t>
      </w:r>
      <w:r>
        <w:rPr>
          <w:rFonts w:hint="eastAsia" w:ascii="仿宋" w:hAnsi="仿宋" w:eastAsia="仿宋" w:cs="宋体"/>
          <w:spacing w:val="-6"/>
          <w:sz w:val="32"/>
          <w:szCs w:val="32"/>
          <w:highlight w:val="none"/>
        </w:rPr>
        <w:t>时上交政治理论个人学习簿，完成</w:t>
      </w:r>
      <w:r>
        <w:rPr>
          <w:rFonts w:hint="eastAsia" w:ascii="仿宋" w:hAnsi="仿宋" w:eastAsia="仿宋" w:cs="宋体"/>
          <w:spacing w:val="-8"/>
          <w:sz w:val="32"/>
          <w:szCs w:val="32"/>
          <w:highlight w:val="none"/>
        </w:rPr>
        <w:t>率100%计4分，90%及以上计3分，80%及以上计2分，80%以</w:t>
      </w:r>
      <w:r>
        <w:rPr>
          <w:rFonts w:hint="eastAsia" w:ascii="仿宋" w:hAnsi="仿宋" w:eastAsia="仿宋" w:cs="宋体"/>
          <w:spacing w:val="-5"/>
          <w:sz w:val="32"/>
          <w:szCs w:val="32"/>
          <w:highlight w:val="none"/>
        </w:rPr>
        <w:t>下及未交者</w:t>
      </w:r>
      <w:r>
        <w:rPr>
          <w:rFonts w:hint="eastAsia" w:ascii="仿宋" w:hAnsi="仿宋" w:eastAsia="仿宋" w:cs="宋体"/>
          <w:spacing w:val="-4"/>
          <w:sz w:val="32"/>
          <w:szCs w:val="32"/>
          <w:highlight w:val="none"/>
        </w:rPr>
        <w:t>不计分。</w:t>
      </w:r>
    </w:p>
    <w:p w14:paraId="71A8A093">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（2）学习成效（5分）。依据应知应会测试平均成绩进行折算，满分为100分，按照平均成绩</w:t>
      </w:r>
      <w:r>
        <w:rPr>
          <w:rFonts w:hint="eastAsia" w:ascii="仿宋" w:hAnsi="仿宋" w:eastAsia="仿宋"/>
          <w:color w:val="000000"/>
          <w:sz w:val="32"/>
          <w:szCs w:val="32"/>
          <w:highlight w:val="none"/>
          <w:lang w:eastAsia="zh-CN"/>
        </w:rPr>
        <w:t>x</w:t>
      </w:r>
      <w:r>
        <w:rPr>
          <w:rFonts w:hint="eastAsia" w:ascii="仿宋" w:hAnsi="仿宋" w:eastAsia="仿宋"/>
          <w:color w:val="000000"/>
          <w:sz w:val="32"/>
          <w:szCs w:val="32"/>
          <w:highlight w:val="none"/>
        </w:rPr>
        <w:t>5%折算。</w:t>
      </w:r>
    </w:p>
    <w:p w14:paraId="13F7DC02">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（四）加分项（加分上限为5分，累计加分超过5分的以5分计）</w:t>
      </w:r>
    </w:p>
    <w:p w14:paraId="62B0D99A">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1.作为学生骨干积极参加学校、学院组织的各项活动（校运会等集体活动）并做出贡献，经学校、学院认定后加0.2分/次（此项以学生会各部门开具的证明为准）上限1分；</w:t>
      </w:r>
    </w:p>
    <w:p w14:paraId="6F8D8FDD">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2.有助人为乐、见义勇为、拾金不昧等表现或事迹突出受到院级表扬、报道加0.5分，受到校级表扬、报道加1分，受到省级及以上表扬、报道加2分，</w:t>
      </w:r>
      <w:r>
        <w:rPr>
          <w:rFonts w:hint="eastAsia" w:ascii="仿宋" w:hAnsi="仿宋" w:eastAsia="仿宋"/>
          <w:sz w:val="32"/>
          <w:szCs w:val="32"/>
          <w:highlight w:val="none"/>
        </w:rPr>
        <w:t>同一事迹以最高分计分，不重复加分</w:t>
      </w:r>
      <w:r>
        <w:rPr>
          <w:rFonts w:hint="eastAsia" w:ascii="仿宋" w:hAnsi="仿宋" w:eastAsia="仿宋"/>
          <w:color w:val="000000"/>
          <w:sz w:val="32"/>
          <w:szCs w:val="32"/>
          <w:highlight w:val="none"/>
        </w:rPr>
        <w:t>；</w:t>
      </w:r>
    </w:p>
    <w:p w14:paraId="781E7181">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3.个人或班级获得</w:t>
      </w:r>
      <w:r>
        <w:rPr>
          <w:rFonts w:hint="eastAsia" w:ascii="仿宋" w:hAnsi="仿宋" w:eastAsia="仿宋"/>
          <w:color w:val="000000"/>
          <w:sz w:val="32"/>
          <w:szCs w:val="32"/>
          <w:highlight w:val="none"/>
          <w:lang w:val="en-US" w:eastAsia="zh-CN"/>
        </w:rPr>
        <w:t>校</w:t>
      </w:r>
      <w:r>
        <w:rPr>
          <w:rFonts w:hint="eastAsia" w:ascii="仿宋" w:hAnsi="仿宋" w:eastAsia="仿宋"/>
          <w:color w:val="000000"/>
          <w:sz w:val="32"/>
          <w:szCs w:val="32"/>
          <w:highlight w:val="none"/>
        </w:rPr>
        <w:t>级及以上各类表彰奖励，校级一项加1分，省级及以上一项加2分，同一类表彰奖励以最高分计分，不重复加分；</w:t>
      </w:r>
    </w:p>
    <w:p w14:paraId="3D27F07C">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4.所在宿舍在星级文明宿舍评比中达到五星级，加0.5分；</w:t>
      </w:r>
    </w:p>
    <w:p w14:paraId="75C9CD4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5.参加就业实训课程，加0.5分，上限2分（以就业指导中心记录为准）；</w:t>
      </w:r>
    </w:p>
    <w:p w14:paraId="2231B0B3">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rPr>
        <w:t>6.参加校院两级思想政治类（团课等）、创新创业类和就业指导类辅导报告、讲座、培训及座谈会等并提交报告会记录单，或积极参与学校、学院学生会举办的各项活动，经学校学院认定后加0.2分/次，此项不超过3分</w:t>
      </w:r>
      <w:r>
        <w:rPr>
          <w:rFonts w:hint="eastAsia" w:ascii="仿宋" w:hAnsi="仿宋" w:eastAsia="仿宋"/>
          <w:color w:val="000000"/>
          <w:sz w:val="32"/>
          <w:szCs w:val="32"/>
          <w:highlight w:val="none"/>
          <w:lang w:eastAsia="zh-CN"/>
        </w:rPr>
        <w:t>。</w:t>
      </w:r>
    </w:p>
    <w:p w14:paraId="4A46F6C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eastAsia="zh-CN"/>
        </w:rPr>
        <w:t>7.在学校学院各类学生组织主席团成员、社长、班长、团支部书记加2分、学习委员、心理委员、</w:t>
      </w:r>
      <w:r>
        <w:rPr>
          <w:rFonts w:hint="eastAsia" w:ascii="仿宋" w:hAnsi="仿宋" w:eastAsia="仿宋"/>
          <w:color w:val="000000"/>
          <w:sz w:val="32"/>
          <w:szCs w:val="32"/>
          <w:highlight w:val="none"/>
          <w:lang w:val="en-US" w:eastAsia="zh-CN"/>
        </w:rPr>
        <w:t>学生组织负责人</w:t>
      </w:r>
      <w:r>
        <w:rPr>
          <w:rFonts w:hint="eastAsia" w:ascii="仿宋" w:hAnsi="仿宋" w:eastAsia="仿宋"/>
          <w:color w:val="000000"/>
          <w:sz w:val="32"/>
          <w:szCs w:val="32"/>
          <w:highlight w:val="none"/>
          <w:lang w:eastAsia="zh-CN"/>
        </w:rPr>
        <w:t>加1.5分，其他学生骨干加1分，担任多项职务不重复加分；</w:t>
      </w:r>
    </w:p>
    <w:p w14:paraId="3A0C91F0">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8.积极报名应征入伍通过加5分，报名但体检未通过加2分；</w:t>
      </w:r>
    </w:p>
    <w:p w14:paraId="315CA83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9.经学院认定的其他加分项。</w:t>
      </w:r>
    </w:p>
    <w:p w14:paraId="5B80B8ED">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（五）扣分项（不设上限）</w:t>
      </w:r>
    </w:p>
    <w:p w14:paraId="08AFBCF4">
      <w:pPr>
        <w:pStyle w:val="24"/>
        <w:keepNext w:val="0"/>
        <w:keepLines w:val="0"/>
        <w:pageBreakBefore w:val="0"/>
        <w:wordWrap/>
        <w:overflowPunct/>
        <w:topLinePunct w:val="0"/>
        <w:bidi w:val="0"/>
        <w:spacing w:after="120" w:line="560" w:lineRule="exact"/>
        <w:ind w:firstLine="640" w:firstLineChars="200"/>
        <w:jc w:val="both"/>
        <w:rPr>
          <w:rFonts w:hint="eastAsia" w:eastAsia="仿宋" w:cs="Times New Roman"/>
          <w:kern w:val="2"/>
          <w:sz w:val="32"/>
          <w:szCs w:val="32"/>
          <w:highlight w:val="none"/>
        </w:rPr>
      </w:pPr>
      <w:r>
        <w:rPr>
          <w:rFonts w:hint="eastAsia" w:eastAsia="仿宋" w:cs="Times New Roman"/>
          <w:kern w:val="2"/>
          <w:sz w:val="32"/>
          <w:szCs w:val="32"/>
          <w:highlight w:val="none"/>
        </w:rPr>
        <w:t>1.有背离社会道德的言行，视情况轻重扣1-5分；</w:t>
      </w:r>
    </w:p>
    <w:p w14:paraId="7B43C3A1">
      <w:pPr>
        <w:pStyle w:val="24"/>
        <w:keepNext w:val="0"/>
        <w:keepLines w:val="0"/>
        <w:pageBreakBefore w:val="0"/>
        <w:wordWrap/>
        <w:overflowPunct/>
        <w:topLinePunct w:val="0"/>
        <w:bidi w:val="0"/>
        <w:spacing w:after="120" w:line="560" w:lineRule="exact"/>
        <w:ind w:firstLine="640" w:firstLineChars="200"/>
        <w:jc w:val="both"/>
        <w:rPr>
          <w:rFonts w:hint="eastAsia" w:eastAsia="仿宋" w:cs="Times New Roman"/>
          <w:kern w:val="2"/>
          <w:sz w:val="32"/>
          <w:szCs w:val="32"/>
          <w:highlight w:val="none"/>
        </w:rPr>
      </w:pPr>
      <w:r>
        <w:rPr>
          <w:rFonts w:hint="eastAsia" w:eastAsia="仿宋" w:cs="Times New Roman"/>
          <w:kern w:val="2"/>
          <w:sz w:val="32"/>
          <w:szCs w:val="32"/>
          <w:highlight w:val="none"/>
        </w:rPr>
        <w:t>2.勤俭节约意识淡薄，有浪费饭菜、水、电等不良行为，经批评教育不改的，扣1分/次；</w:t>
      </w:r>
    </w:p>
    <w:p w14:paraId="15A50DB4">
      <w:pPr>
        <w:pStyle w:val="24"/>
        <w:keepNext w:val="0"/>
        <w:keepLines w:val="0"/>
        <w:pageBreakBefore w:val="0"/>
        <w:wordWrap/>
        <w:overflowPunct/>
        <w:topLinePunct w:val="0"/>
        <w:bidi w:val="0"/>
        <w:spacing w:after="120" w:line="560" w:lineRule="exact"/>
        <w:ind w:firstLine="640" w:firstLineChars="200"/>
        <w:jc w:val="both"/>
        <w:rPr>
          <w:rFonts w:hint="eastAsia" w:eastAsia="仿宋" w:cs="Times New Roman"/>
          <w:kern w:val="2"/>
          <w:sz w:val="32"/>
          <w:szCs w:val="32"/>
          <w:highlight w:val="none"/>
        </w:rPr>
      </w:pPr>
      <w:r>
        <w:rPr>
          <w:rFonts w:hint="eastAsia" w:eastAsia="仿宋" w:cs="Times New Roman"/>
          <w:kern w:val="2"/>
          <w:sz w:val="32"/>
          <w:szCs w:val="32"/>
          <w:highlight w:val="none"/>
        </w:rPr>
        <w:t>3.违规长期占用教室、自习室、图书馆</w:t>
      </w:r>
      <w:r>
        <w:rPr>
          <w:rFonts w:hint="eastAsia" w:eastAsia="仿宋" w:cs="Times New Roman"/>
          <w:kern w:val="2"/>
          <w:sz w:val="32"/>
          <w:szCs w:val="32"/>
          <w:highlight w:val="none"/>
          <w:lang w:eastAsia="zh-CN"/>
        </w:rPr>
        <w:t>、</w:t>
      </w:r>
      <w:r>
        <w:rPr>
          <w:rFonts w:hint="eastAsia" w:eastAsia="仿宋" w:cs="Times New Roman"/>
          <w:kern w:val="2"/>
          <w:sz w:val="32"/>
          <w:szCs w:val="32"/>
          <w:highlight w:val="none"/>
          <w:lang w:val="en-US" w:eastAsia="zh-CN"/>
        </w:rPr>
        <w:t>学院自习室</w:t>
      </w:r>
      <w:r>
        <w:rPr>
          <w:rFonts w:hint="eastAsia" w:eastAsia="仿宋" w:cs="Times New Roman"/>
          <w:kern w:val="2"/>
          <w:sz w:val="32"/>
          <w:szCs w:val="32"/>
          <w:highlight w:val="none"/>
        </w:rPr>
        <w:t>等公共资源，扣1分/次；（以物品领取单为准）</w:t>
      </w:r>
    </w:p>
    <w:p w14:paraId="55ECA864">
      <w:pPr>
        <w:pStyle w:val="24"/>
        <w:keepNext w:val="0"/>
        <w:keepLines w:val="0"/>
        <w:pageBreakBefore w:val="0"/>
        <w:wordWrap/>
        <w:overflowPunct/>
        <w:topLinePunct w:val="0"/>
        <w:bidi w:val="0"/>
        <w:spacing w:after="120" w:line="560" w:lineRule="exact"/>
        <w:ind w:firstLine="640" w:firstLineChars="200"/>
        <w:jc w:val="both"/>
        <w:rPr>
          <w:rFonts w:hint="eastAsia" w:eastAsia="仿宋" w:cs="Times New Roman"/>
          <w:kern w:val="2"/>
          <w:sz w:val="32"/>
          <w:szCs w:val="32"/>
          <w:highlight w:val="none"/>
        </w:rPr>
      </w:pPr>
      <w:r>
        <w:rPr>
          <w:rFonts w:hint="eastAsia" w:eastAsia="仿宋" w:cs="Times New Roman"/>
          <w:kern w:val="2"/>
          <w:sz w:val="32"/>
          <w:szCs w:val="32"/>
          <w:highlight w:val="none"/>
        </w:rPr>
        <w:t>4.假期结束后无故不按时返校，未履行请假手续私自离校外出者</w:t>
      </w:r>
      <w:r>
        <w:rPr>
          <w:rFonts w:hint="eastAsia" w:eastAsia="仿宋" w:cs="Times New Roman"/>
          <w:kern w:val="2"/>
          <w:sz w:val="32"/>
          <w:szCs w:val="32"/>
          <w:highlight w:val="none"/>
          <w:lang w:eastAsia="zh-CN"/>
        </w:rPr>
        <w:t>、</w:t>
      </w:r>
      <w:r>
        <w:rPr>
          <w:rFonts w:hint="eastAsia" w:eastAsia="仿宋" w:cs="Times New Roman"/>
          <w:kern w:val="2"/>
          <w:sz w:val="32"/>
          <w:szCs w:val="32"/>
          <w:highlight w:val="none"/>
          <w:lang w:val="en-US" w:eastAsia="zh-CN"/>
        </w:rPr>
        <w:t>私自校外住宿</w:t>
      </w:r>
      <w:r>
        <w:rPr>
          <w:rFonts w:hint="eastAsia" w:eastAsia="仿宋" w:cs="Times New Roman"/>
          <w:kern w:val="2"/>
          <w:sz w:val="32"/>
          <w:szCs w:val="32"/>
          <w:highlight w:val="none"/>
        </w:rPr>
        <w:t>行为修养分数不高于</w:t>
      </w:r>
      <w:r>
        <w:rPr>
          <w:rFonts w:hint="eastAsia" w:eastAsia="仿宋" w:cs="Times New Roman"/>
          <w:kern w:val="2"/>
          <w:sz w:val="32"/>
          <w:szCs w:val="32"/>
          <w:highlight w:val="none"/>
          <w:lang w:val="en-US" w:eastAsia="zh-CN"/>
        </w:rPr>
        <w:t>20</w:t>
      </w:r>
      <w:r>
        <w:rPr>
          <w:rFonts w:hint="eastAsia" w:eastAsia="仿宋" w:cs="Times New Roman"/>
          <w:kern w:val="2"/>
          <w:sz w:val="32"/>
          <w:szCs w:val="32"/>
          <w:highlight w:val="none"/>
        </w:rPr>
        <w:t>分；</w:t>
      </w:r>
    </w:p>
    <w:p w14:paraId="699833FE">
      <w:pPr>
        <w:pStyle w:val="24"/>
        <w:keepNext w:val="0"/>
        <w:keepLines w:val="0"/>
        <w:pageBreakBefore w:val="0"/>
        <w:wordWrap/>
        <w:overflowPunct/>
        <w:topLinePunct w:val="0"/>
        <w:bidi w:val="0"/>
        <w:spacing w:after="120" w:line="560" w:lineRule="exact"/>
        <w:ind w:firstLine="640" w:firstLineChars="200"/>
        <w:jc w:val="both"/>
        <w:rPr>
          <w:rFonts w:hint="eastAsia" w:eastAsia="仿宋" w:cs="Times New Roman"/>
          <w:kern w:val="2"/>
          <w:sz w:val="32"/>
          <w:szCs w:val="32"/>
          <w:highlight w:val="none"/>
        </w:rPr>
      </w:pPr>
      <w:r>
        <w:rPr>
          <w:rFonts w:hint="eastAsia" w:eastAsia="仿宋" w:cs="Times New Roman"/>
          <w:kern w:val="2"/>
          <w:sz w:val="32"/>
          <w:szCs w:val="32"/>
          <w:highlight w:val="none"/>
        </w:rPr>
        <w:t>5.所在宿舍在星级文明宿舍评比中未达到三星级，扣2分</w:t>
      </w:r>
      <w:r>
        <w:rPr>
          <w:rFonts w:hint="eastAsia" w:eastAsia="仿宋" w:cs="宋体"/>
          <w:sz w:val="32"/>
          <w:szCs w:val="32"/>
          <w:highlight w:val="none"/>
        </w:rPr>
        <w:t>；</w:t>
      </w:r>
    </w:p>
    <w:p w14:paraId="1A0FB387">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6.</w:t>
      </w:r>
      <w:r>
        <w:rPr>
          <w:rFonts w:hint="eastAsia" w:ascii="仿宋" w:hAnsi="仿宋" w:eastAsia="仿宋"/>
          <w:sz w:val="32"/>
          <w:szCs w:val="32"/>
          <w:highlight w:val="none"/>
          <w:lang w:val="en-US" w:eastAsia="zh-CN"/>
        </w:rPr>
        <w:t>辅导猫收集</w:t>
      </w:r>
      <w:r>
        <w:rPr>
          <w:rFonts w:hint="eastAsia" w:ascii="仿宋" w:hAnsi="仿宋" w:eastAsia="仿宋"/>
          <w:sz w:val="32"/>
          <w:szCs w:val="32"/>
          <w:highlight w:val="none"/>
        </w:rPr>
        <w:t>未按时</w:t>
      </w:r>
      <w:r>
        <w:rPr>
          <w:rFonts w:hint="eastAsia" w:ascii="仿宋" w:hAnsi="仿宋" w:eastAsia="仿宋"/>
          <w:sz w:val="32"/>
          <w:szCs w:val="32"/>
          <w:highlight w:val="none"/>
          <w:lang w:val="en-US" w:eastAsia="zh-CN"/>
        </w:rPr>
        <w:t>填写</w:t>
      </w:r>
      <w:r>
        <w:rPr>
          <w:rFonts w:hint="eastAsia" w:ascii="仿宋" w:hAnsi="仿宋" w:eastAsia="仿宋"/>
          <w:sz w:val="32"/>
          <w:szCs w:val="32"/>
          <w:highlight w:val="none"/>
        </w:rPr>
        <w:t>，扣0.2分/次；</w:t>
      </w:r>
    </w:p>
    <w:p w14:paraId="62D4F524">
      <w:pPr>
        <w:pStyle w:val="24"/>
        <w:keepNext w:val="0"/>
        <w:keepLines w:val="0"/>
        <w:pageBreakBefore w:val="0"/>
        <w:wordWrap/>
        <w:overflowPunct/>
        <w:topLinePunct w:val="0"/>
        <w:bidi w:val="0"/>
        <w:spacing w:after="120" w:line="560" w:lineRule="exact"/>
        <w:ind w:firstLine="640" w:firstLineChars="200"/>
        <w:jc w:val="both"/>
        <w:rPr>
          <w:rFonts w:hint="eastAsia" w:eastAsia="仿宋" w:cs="宋体"/>
          <w:sz w:val="32"/>
          <w:szCs w:val="32"/>
          <w:highlight w:val="none"/>
        </w:rPr>
      </w:pPr>
      <w:r>
        <w:rPr>
          <w:rFonts w:hint="eastAsia" w:eastAsia="仿宋"/>
          <w:sz w:val="32"/>
          <w:szCs w:val="32"/>
          <w:highlight w:val="none"/>
        </w:rPr>
        <w:t>7.</w:t>
      </w:r>
      <w:r>
        <w:rPr>
          <w:rFonts w:hint="eastAsia" w:eastAsia="仿宋" w:cs="宋体"/>
          <w:sz w:val="32"/>
          <w:szCs w:val="32"/>
          <w:highlight w:val="none"/>
        </w:rPr>
        <w:t>无故不参加学校举办的活动者，扣2分/次；无故不参加学院举办的活动者，扣1分/次，无故不参加班级举办的活动者，扣0.5分/次</w:t>
      </w:r>
      <w:r>
        <w:rPr>
          <w:rFonts w:hint="eastAsia" w:eastAsia="仿宋"/>
          <w:sz w:val="32"/>
          <w:szCs w:val="32"/>
          <w:highlight w:val="none"/>
        </w:rPr>
        <w:t>；</w:t>
      </w:r>
      <w:r>
        <w:rPr>
          <w:rFonts w:hint="eastAsia" w:eastAsia="仿宋" w:cs="宋体"/>
          <w:sz w:val="32"/>
          <w:szCs w:val="32"/>
          <w:highlight w:val="none"/>
        </w:rPr>
        <w:t>对于需要实名统计人数参加的报告会（包括团课以及各种实名认证报告会），报名但未参加者，扣0.5分/次；</w:t>
      </w:r>
    </w:p>
    <w:p w14:paraId="0855BCE4">
      <w:pPr>
        <w:pStyle w:val="24"/>
        <w:keepNext w:val="0"/>
        <w:keepLines w:val="0"/>
        <w:pageBreakBefore w:val="0"/>
        <w:wordWrap/>
        <w:overflowPunct/>
        <w:topLinePunct w:val="0"/>
        <w:bidi w:val="0"/>
        <w:spacing w:after="120" w:line="560" w:lineRule="exact"/>
        <w:ind w:firstLine="640" w:firstLineChars="200"/>
        <w:jc w:val="both"/>
        <w:rPr>
          <w:rFonts w:hint="eastAsia" w:eastAsia="仿宋" w:cs="宋体"/>
          <w:sz w:val="32"/>
          <w:szCs w:val="32"/>
          <w:highlight w:val="none"/>
        </w:rPr>
      </w:pPr>
      <w:r>
        <w:rPr>
          <w:rFonts w:hint="eastAsia" w:eastAsia="仿宋"/>
          <w:sz w:val="32"/>
          <w:szCs w:val="32"/>
          <w:highlight w:val="none"/>
        </w:rPr>
        <w:t>8.旷课者，扣1分/次，</w:t>
      </w:r>
      <w:r>
        <w:rPr>
          <w:rFonts w:hint="eastAsia" w:eastAsia="仿宋" w:cs="宋体"/>
          <w:sz w:val="32"/>
          <w:szCs w:val="32"/>
          <w:highlight w:val="none"/>
        </w:rPr>
        <w:t>晚自习缺勤者，扣1分/次；</w:t>
      </w:r>
    </w:p>
    <w:p w14:paraId="4BF176B9">
      <w:pPr>
        <w:pStyle w:val="24"/>
        <w:keepNext w:val="0"/>
        <w:keepLines w:val="0"/>
        <w:pageBreakBefore w:val="0"/>
        <w:wordWrap/>
        <w:overflowPunct/>
        <w:topLinePunct w:val="0"/>
        <w:bidi w:val="0"/>
        <w:spacing w:after="120" w:line="560" w:lineRule="exact"/>
        <w:ind w:firstLine="640" w:firstLineChars="200"/>
        <w:jc w:val="both"/>
        <w:rPr>
          <w:rFonts w:hint="eastAsia" w:eastAsia="仿宋"/>
          <w:sz w:val="32"/>
          <w:szCs w:val="32"/>
          <w:highlight w:val="none"/>
        </w:rPr>
      </w:pPr>
      <w:r>
        <w:rPr>
          <w:rFonts w:hint="eastAsia" w:eastAsia="仿宋"/>
          <w:sz w:val="32"/>
          <w:szCs w:val="32"/>
          <w:highlight w:val="none"/>
        </w:rPr>
        <w:t>9.缺乏诚信，如在贫困生认定、素质能力测评、各类评优评先中存在弄虚作假行为，品德修养部分成绩计为0分；</w:t>
      </w:r>
    </w:p>
    <w:p w14:paraId="468B8725">
      <w:pPr>
        <w:pStyle w:val="24"/>
        <w:keepNext w:val="0"/>
        <w:keepLines w:val="0"/>
        <w:pageBreakBefore w:val="0"/>
        <w:wordWrap/>
        <w:overflowPunct/>
        <w:topLinePunct w:val="0"/>
        <w:bidi w:val="0"/>
        <w:spacing w:after="120" w:line="560" w:lineRule="exact"/>
        <w:ind w:firstLine="640" w:firstLineChars="200"/>
        <w:jc w:val="both"/>
        <w:rPr>
          <w:rFonts w:hint="eastAsia" w:eastAsia="仿宋"/>
          <w:sz w:val="32"/>
          <w:szCs w:val="32"/>
          <w:highlight w:val="none"/>
        </w:rPr>
      </w:pPr>
      <w:r>
        <w:rPr>
          <w:rFonts w:hint="eastAsia" w:eastAsia="仿宋"/>
          <w:sz w:val="32"/>
          <w:szCs w:val="32"/>
          <w:highlight w:val="none"/>
        </w:rPr>
        <w:t>10.在网络上发表不当言论，转发不实信息等，品德修养部分不超过30分；</w:t>
      </w:r>
    </w:p>
    <w:p w14:paraId="45B4E80D">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11.经学院认定的其他扣分项。</w:t>
      </w:r>
    </w:p>
    <w:p w14:paraId="6AA932FA">
      <w:pPr>
        <w:pStyle w:val="3"/>
        <w:keepNext w:val="0"/>
        <w:keepLines w:val="0"/>
        <w:pageBreakBefore w:val="0"/>
        <w:wordWrap/>
        <w:overflowPunct/>
        <w:topLinePunct w:val="0"/>
        <w:bidi w:val="0"/>
        <w:spacing w:after="120" w:line="560" w:lineRule="exact"/>
        <w:ind w:left="0" w:leftChars="0" w:firstLine="640" w:firstLineChars="200"/>
        <w:rPr>
          <w:rFonts w:hint="eastAsia" w:ascii="楷体" w:hAnsi="楷体" w:eastAsia="楷体" w:cs="楷体"/>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US" w:eastAsia="zh-CN" w:bidi="ar-SA"/>
        </w:rPr>
        <w:t>二、素质发展（30分）</w:t>
      </w:r>
    </w:p>
    <w:p w14:paraId="570EEC6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color w:val="000000"/>
          <w:sz w:val="32"/>
          <w:szCs w:val="32"/>
          <w:highlight w:val="none"/>
        </w:rPr>
        <w:t>主要考核学生在体育、美育、劳育三方面表现情况，该项总</w:t>
      </w:r>
      <w:r>
        <w:rPr>
          <w:rFonts w:hint="eastAsia" w:ascii="仿宋" w:hAnsi="仿宋" w:eastAsia="仿宋"/>
          <w:b w:val="0"/>
          <w:bCs w:val="0"/>
          <w:color w:val="000000"/>
          <w:sz w:val="32"/>
          <w:szCs w:val="32"/>
          <w:highlight w:val="none"/>
        </w:rPr>
        <w:t>分不超过30分。</w:t>
      </w:r>
    </w:p>
    <w:p w14:paraId="2434B27A">
      <w:pPr>
        <w:keepNext w:val="0"/>
        <w:keepLines w:val="0"/>
        <w:pageBreakBefore w:val="0"/>
        <w:numPr>
          <w:ilvl w:val="0"/>
          <w:numId w:val="0"/>
        </w:numPr>
        <w:tabs>
          <w:tab w:val="left" w:pos="1134"/>
          <w:tab w:val="left" w:pos="1418"/>
        </w:tabs>
        <w:wordWrap/>
        <w:overflowPunct/>
        <w:topLinePunct w:val="0"/>
        <w:bidi w:val="0"/>
        <w:spacing w:after="120" w:line="560" w:lineRule="exact"/>
        <w:ind w:left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lang w:eastAsia="zh-CN"/>
        </w:rPr>
        <w:t>（</w:t>
      </w:r>
      <w:r>
        <w:rPr>
          <w:rFonts w:hint="eastAsia" w:ascii="仿宋" w:hAnsi="仿宋" w:eastAsia="仿宋"/>
          <w:b w:val="0"/>
          <w:bCs w:val="0"/>
          <w:color w:val="000000"/>
          <w:sz w:val="32"/>
          <w:szCs w:val="32"/>
          <w:highlight w:val="none"/>
          <w:lang w:val="en-US" w:eastAsia="zh-CN"/>
        </w:rPr>
        <w:t>一</w:t>
      </w:r>
      <w:r>
        <w:rPr>
          <w:rFonts w:hint="eastAsia" w:ascii="仿宋" w:hAnsi="仿宋" w:eastAsia="仿宋"/>
          <w:b w:val="0"/>
          <w:bCs w:val="0"/>
          <w:color w:val="000000"/>
          <w:sz w:val="32"/>
          <w:szCs w:val="32"/>
          <w:highlight w:val="none"/>
          <w:lang w:eastAsia="zh-CN"/>
        </w:rPr>
        <w:t>）</w:t>
      </w:r>
      <w:r>
        <w:rPr>
          <w:rFonts w:hint="eastAsia" w:ascii="仿宋" w:hAnsi="仿宋" w:eastAsia="仿宋"/>
          <w:b w:val="0"/>
          <w:bCs w:val="0"/>
          <w:color w:val="000000"/>
          <w:sz w:val="32"/>
          <w:szCs w:val="32"/>
          <w:highlight w:val="none"/>
        </w:rPr>
        <w:t>体育（10分）</w:t>
      </w:r>
    </w:p>
    <w:p w14:paraId="4AAFE50E">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bookmarkStart w:id="3" w:name="_Hlk27401198"/>
      <w:r>
        <w:rPr>
          <w:rFonts w:hint="eastAsia" w:ascii="仿宋" w:hAnsi="仿宋" w:eastAsia="仿宋"/>
          <w:color w:val="000000"/>
          <w:sz w:val="32"/>
          <w:szCs w:val="32"/>
          <w:highlight w:val="none"/>
        </w:rPr>
        <w:t>体育主要考核学生的国家学生体质健康标准测试情况、课内外体育活动参与情况、参加体育竞赛比赛获奖情况和加分项四部分内容。（该项总分不超过10分，累计得分超过10分的按10分计）</w:t>
      </w:r>
      <w:bookmarkEnd w:id="3"/>
    </w:p>
    <w:p w14:paraId="67A59A9B">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1.国家学生体质健康标准测试情况（4分）</w:t>
      </w:r>
    </w:p>
    <w:p w14:paraId="5ED35603">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依据国家学生体质健康标准测试（简称体测）成绩进行折算赋分，满分100分，按照成绩</w:t>
      </w:r>
      <w:r>
        <w:rPr>
          <w:rFonts w:hint="eastAsia" w:ascii="仿宋" w:hAnsi="仿宋" w:eastAsia="仿宋"/>
          <w:color w:val="000000"/>
          <w:sz w:val="32"/>
          <w:szCs w:val="32"/>
          <w:highlight w:val="none"/>
          <w:lang w:eastAsia="zh-CN"/>
        </w:rPr>
        <w:t>x</w:t>
      </w:r>
      <w:r>
        <w:rPr>
          <w:rFonts w:hint="eastAsia" w:ascii="仿宋" w:hAnsi="仿宋" w:eastAsia="仿宋"/>
          <w:color w:val="000000"/>
          <w:sz w:val="32"/>
          <w:szCs w:val="32"/>
          <w:highlight w:val="none"/>
        </w:rPr>
        <w:t>4%折算，免测者体测成绩按1.8分计（以体育部提供文件为准）。</w:t>
      </w:r>
    </w:p>
    <w:p w14:paraId="105301D5">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2.课内外体育活动参与情况（3分）</w:t>
      </w:r>
    </w:p>
    <w:p w14:paraId="41C7B285">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bCs/>
          <w:color w:val="000000"/>
          <w:sz w:val="32"/>
          <w:szCs w:val="32"/>
          <w:highlight w:val="none"/>
        </w:rPr>
        <w:t>（1）</w:t>
      </w:r>
      <w:r>
        <w:rPr>
          <w:rFonts w:hint="eastAsia" w:ascii="仿宋" w:hAnsi="仿宋" w:eastAsia="仿宋"/>
          <w:kern w:val="0"/>
          <w:sz w:val="32"/>
          <w:szCs w:val="32"/>
          <w:highlight w:val="none"/>
        </w:rPr>
        <w:t>早操（满分1分，按照1.0</w:t>
      </w:r>
      <w:r>
        <w:rPr>
          <w:rFonts w:hint="eastAsia" w:ascii="仿宋" w:hAnsi="仿宋" w:eastAsia="仿宋"/>
          <w:kern w:val="0"/>
          <w:sz w:val="32"/>
          <w:szCs w:val="32"/>
          <w:highlight w:val="none"/>
          <w:lang w:eastAsia="zh-CN"/>
        </w:rPr>
        <w:t>x</w:t>
      </w:r>
      <w:r>
        <w:rPr>
          <w:rFonts w:hint="eastAsia" w:ascii="仿宋" w:hAnsi="仿宋" w:eastAsia="仿宋"/>
          <w:kern w:val="0"/>
          <w:sz w:val="32"/>
          <w:szCs w:val="32"/>
          <w:highlight w:val="none"/>
        </w:rPr>
        <w:t>出勤率折算）。</w:t>
      </w:r>
    </w:p>
    <w:p w14:paraId="7FBC068B">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（2）担任体育类校队（如田径队、篮球队、羽毛球队、乒乓球队、足球队等）负责人，得</w:t>
      </w:r>
      <w:r>
        <w:rPr>
          <w:rFonts w:hint="eastAsia" w:ascii="仿宋" w:hAnsi="仿宋" w:eastAsia="仿宋"/>
          <w:bCs/>
          <w:color w:val="000000"/>
          <w:sz w:val="32"/>
          <w:szCs w:val="32"/>
          <w:highlight w:val="none"/>
          <w:lang w:val="en-US" w:eastAsia="zh-CN"/>
        </w:rPr>
        <w:t>2</w:t>
      </w:r>
      <w:r>
        <w:rPr>
          <w:rFonts w:hint="eastAsia" w:ascii="仿宋" w:hAnsi="仿宋" w:eastAsia="仿宋"/>
          <w:bCs/>
          <w:color w:val="000000"/>
          <w:sz w:val="32"/>
          <w:szCs w:val="32"/>
          <w:highlight w:val="none"/>
        </w:rPr>
        <w:t>分，队员加1分。担任体育类院队（如田径队、篮球队、羽毛球队、乒乓球队、足球队等）负责人，得1.</w:t>
      </w:r>
      <w:r>
        <w:rPr>
          <w:rFonts w:hint="eastAsia" w:ascii="仿宋" w:hAnsi="仿宋" w:eastAsia="仿宋"/>
          <w:bCs/>
          <w:color w:val="000000"/>
          <w:sz w:val="32"/>
          <w:szCs w:val="32"/>
          <w:highlight w:val="none"/>
          <w:lang w:val="en-US" w:eastAsia="zh-CN"/>
        </w:rPr>
        <w:t>5</w:t>
      </w:r>
      <w:r>
        <w:rPr>
          <w:rFonts w:hint="eastAsia" w:ascii="仿宋" w:hAnsi="仿宋" w:eastAsia="仿宋"/>
          <w:bCs/>
          <w:color w:val="000000"/>
          <w:sz w:val="32"/>
          <w:szCs w:val="32"/>
          <w:highlight w:val="none"/>
        </w:rPr>
        <w:t>分，队员加0.5分。（同类别队伍不加分）</w:t>
      </w:r>
    </w:p>
    <w:p w14:paraId="4B7B088B">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（3）作为选手参加杨凌马拉松、全运会等课外体育活动，一次得1分，此项最高加2分。</w:t>
      </w:r>
    </w:p>
    <w:p w14:paraId="661A39F4">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（4）参加体育赛事的赛前训练(春训、春季田径运动会方阵训练、冬训等)，出勤率90%及以上加</w:t>
      </w:r>
      <w:r>
        <w:rPr>
          <w:rFonts w:hint="eastAsia" w:ascii="仿宋" w:hAnsi="仿宋" w:eastAsia="仿宋"/>
          <w:bCs/>
          <w:color w:val="000000"/>
          <w:sz w:val="32"/>
          <w:szCs w:val="32"/>
          <w:highlight w:val="none"/>
          <w:lang w:val="en-US" w:eastAsia="zh-CN"/>
        </w:rPr>
        <w:t>1</w:t>
      </w:r>
      <w:r>
        <w:rPr>
          <w:rFonts w:hint="eastAsia" w:ascii="仿宋" w:hAnsi="仿宋" w:eastAsia="仿宋"/>
          <w:bCs/>
          <w:color w:val="000000"/>
          <w:sz w:val="32"/>
          <w:szCs w:val="32"/>
          <w:highlight w:val="none"/>
        </w:rPr>
        <w:t>分、60%—90%加</w:t>
      </w:r>
      <w:r>
        <w:rPr>
          <w:rFonts w:hint="eastAsia" w:ascii="仿宋" w:hAnsi="仿宋" w:eastAsia="仿宋"/>
          <w:bCs/>
          <w:color w:val="000000"/>
          <w:sz w:val="32"/>
          <w:szCs w:val="32"/>
          <w:highlight w:val="none"/>
          <w:lang w:val="en-US" w:eastAsia="zh-CN"/>
        </w:rPr>
        <w:t>0.8</w:t>
      </w:r>
      <w:r>
        <w:rPr>
          <w:rFonts w:hint="eastAsia" w:ascii="仿宋" w:hAnsi="仿宋" w:eastAsia="仿宋"/>
          <w:bCs/>
          <w:color w:val="000000"/>
          <w:sz w:val="32"/>
          <w:szCs w:val="32"/>
          <w:highlight w:val="none"/>
        </w:rPr>
        <w:t>分、60%以下加0.2分。参加冬训完成第一阶段者加0.</w:t>
      </w:r>
      <w:r>
        <w:rPr>
          <w:rFonts w:hint="eastAsia" w:ascii="仿宋" w:hAnsi="仿宋" w:eastAsia="仿宋"/>
          <w:bCs/>
          <w:color w:val="000000"/>
          <w:sz w:val="32"/>
          <w:szCs w:val="32"/>
          <w:highlight w:val="none"/>
          <w:lang w:val="en-US" w:eastAsia="zh-CN"/>
        </w:rPr>
        <w:t>5</w:t>
      </w:r>
      <w:r>
        <w:rPr>
          <w:rFonts w:hint="eastAsia" w:ascii="仿宋" w:hAnsi="仿宋" w:eastAsia="仿宋"/>
          <w:bCs/>
          <w:color w:val="000000"/>
          <w:sz w:val="32"/>
          <w:szCs w:val="32"/>
          <w:highlight w:val="none"/>
        </w:rPr>
        <w:t>分、完成第二阶段者另加0.</w:t>
      </w:r>
      <w:r>
        <w:rPr>
          <w:rFonts w:hint="eastAsia" w:ascii="仿宋" w:hAnsi="仿宋" w:eastAsia="仿宋"/>
          <w:bCs/>
          <w:color w:val="000000"/>
          <w:sz w:val="32"/>
          <w:szCs w:val="32"/>
          <w:highlight w:val="none"/>
          <w:lang w:val="en-US" w:eastAsia="zh-CN"/>
        </w:rPr>
        <w:t>5</w:t>
      </w:r>
      <w:r>
        <w:rPr>
          <w:rFonts w:hint="eastAsia" w:ascii="仿宋" w:hAnsi="仿宋" w:eastAsia="仿宋"/>
          <w:bCs/>
          <w:color w:val="000000"/>
          <w:sz w:val="32"/>
          <w:szCs w:val="32"/>
          <w:highlight w:val="none"/>
        </w:rPr>
        <w:t>分。此项最高加</w:t>
      </w:r>
      <w:r>
        <w:rPr>
          <w:rFonts w:hint="eastAsia" w:ascii="仿宋" w:hAnsi="仿宋" w:eastAsia="仿宋"/>
          <w:bCs/>
          <w:color w:val="000000"/>
          <w:sz w:val="32"/>
          <w:szCs w:val="32"/>
          <w:highlight w:val="none"/>
          <w:lang w:val="en-US" w:eastAsia="zh-CN"/>
        </w:rPr>
        <w:t>2</w:t>
      </w:r>
      <w:r>
        <w:rPr>
          <w:rFonts w:hint="eastAsia" w:ascii="仿宋" w:hAnsi="仿宋" w:eastAsia="仿宋"/>
          <w:bCs/>
          <w:color w:val="000000"/>
          <w:sz w:val="32"/>
          <w:szCs w:val="32"/>
          <w:highlight w:val="none"/>
        </w:rPr>
        <w:t>分。</w:t>
      </w:r>
    </w:p>
    <w:p w14:paraId="43149E79">
      <w:pPr>
        <w:keepNext w:val="0"/>
        <w:keepLines w:val="0"/>
        <w:pageBreakBefore w:val="0"/>
        <w:wordWrap/>
        <w:overflowPunct/>
        <w:topLinePunct w:val="0"/>
        <w:bidi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kern w:val="0"/>
          <w:sz w:val="32"/>
          <w:szCs w:val="32"/>
          <w:highlight w:val="none"/>
        </w:rPr>
        <w:t>（5）步道乐跑：完成本学年乐跑任务加1分；未完成规定任务</w:t>
      </w:r>
      <w:r>
        <w:rPr>
          <w:rFonts w:hint="eastAsia" w:ascii="仿宋" w:hAnsi="仿宋" w:eastAsia="仿宋"/>
          <w:bCs/>
          <w:color w:val="000000"/>
          <w:sz w:val="32"/>
          <w:szCs w:val="32"/>
          <w:highlight w:val="none"/>
        </w:rPr>
        <w:t>根据完成次数按比例加分（完成率*1折算）；申请免跑的学生按照乐跑总分45%加分，即0.45分。</w:t>
      </w:r>
    </w:p>
    <w:p w14:paraId="18761123">
      <w:pPr>
        <w:keepNext w:val="0"/>
        <w:keepLines w:val="0"/>
        <w:pageBreakBefore w:val="0"/>
        <w:wordWrap/>
        <w:overflowPunct/>
        <w:topLinePunct w:val="0"/>
        <w:bidi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该项总分不超过3分。</w:t>
      </w:r>
    </w:p>
    <w:p w14:paraId="65F032EA">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3.体育竞赛比赛参与及获奖情况（3分）</w:t>
      </w:r>
    </w:p>
    <w:p w14:paraId="397867CF">
      <w:pPr>
        <w:keepNext w:val="0"/>
        <w:keepLines w:val="0"/>
        <w:pageBreakBefore w:val="0"/>
        <w:wordWrap/>
        <w:overflowPunct/>
        <w:topLinePunct w:val="0"/>
        <w:bidi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（1）以学生集体或个人在各级各类体育竞赛中取得的成绩或奖励为依据。</w:t>
      </w:r>
    </w:p>
    <w:tbl>
      <w:tblPr>
        <w:tblStyle w:val="10"/>
        <w:tblW w:w="5000" w:type="pct"/>
        <w:tblInd w:w="0" w:type="dxa"/>
        <w:tblLayout w:type="autofit"/>
        <w:tblCellMar>
          <w:top w:w="0" w:type="dxa"/>
          <w:left w:w="108" w:type="dxa"/>
          <w:bottom w:w="0" w:type="dxa"/>
          <w:right w:w="108" w:type="dxa"/>
        </w:tblCellMar>
      </w:tblPr>
      <w:tblGrid>
        <w:gridCol w:w="1491"/>
        <w:gridCol w:w="1491"/>
        <w:gridCol w:w="1490"/>
        <w:gridCol w:w="1490"/>
        <w:gridCol w:w="1490"/>
        <w:gridCol w:w="1496"/>
      </w:tblGrid>
      <w:tr w14:paraId="362B2252">
        <w:tblPrEx>
          <w:tblCellMar>
            <w:top w:w="0" w:type="dxa"/>
            <w:left w:w="108" w:type="dxa"/>
            <w:bottom w:w="0" w:type="dxa"/>
            <w:right w:w="108" w:type="dxa"/>
          </w:tblCellMar>
        </w:tblPrEx>
        <w:trPr>
          <w:trHeight w:val="466" w:hRule="atLeast"/>
        </w:trPr>
        <w:tc>
          <w:tcPr>
            <w:tcW w:w="833" w:type="pct"/>
            <w:tcBorders>
              <w:top w:val="single" w:color="000000" w:sz="4" w:space="0"/>
              <w:left w:val="single" w:color="000000" w:sz="4" w:space="0"/>
              <w:bottom w:val="nil"/>
              <w:right w:val="nil"/>
            </w:tcBorders>
            <w:noWrap/>
            <w:vAlign w:val="center"/>
          </w:tcPr>
          <w:p w14:paraId="59E2EB63">
            <w:pPr>
              <w:keepNext w:val="0"/>
              <w:keepLines w:val="0"/>
              <w:pageBreakBefore w:val="0"/>
              <w:widowControl/>
              <w:kinsoku/>
              <w:wordWrap/>
              <w:overflowPunct/>
              <w:topLinePunct w:val="0"/>
              <w:autoSpaceDE/>
              <w:autoSpaceDN/>
              <w:bidi w:val="0"/>
              <w:adjustRightInd/>
              <w:snapToGrid/>
              <w:spacing w:line="560" w:lineRule="exact"/>
              <w:ind w:firstLine="440"/>
              <w:jc w:val="left"/>
              <w:textAlignment w:val="center"/>
              <w:rPr>
                <w:rFonts w:hint="eastAsia" w:ascii="仿宋" w:hAnsi="仿宋" w:eastAsia="仿宋" w:cs="宋体"/>
                <w:color w:val="000000"/>
                <w:sz w:val="32"/>
                <w:szCs w:val="32"/>
                <w:highlight w:val="none"/>
              </w:rPr>
            </w:pPr>
            <w:r>
              <w:rPr>
                <w:rFonts w:hint="eastAsia" w:ascii="仿宋" w:hAnsi="仿宋" w:eastAsia="仿宋"/>
                <w:sz w:val="32"/>
                <w:szCs w:val="32"/>
                <w:highlight w:val="none"/>
                <w:bdr w:val="single" w:color="000000" w:sz="4" w:space="0"/>
              </w:rPr>
              <w:drawing>
                <wp:anchor distT="0" distB="0" distL="114300" distR="114300" simplePos="0" relativeHeight="251662336" behindDoc="0" locked="0" layoutInCell="1" allowOverlap="1">
                  <wp:simplePos x="0" y="0"/>
                  <wp:positionH relativeFrom="column">
                    <wp:posOffset>-33020</wp:posOffset>
                  </wp:positionH>
                  <wp:positionV relativeFrom="paragraph">
                    <wp:posOffset>33655</wp:posOffset>
                  </wp:positionV>
                  <wp:extent cx="1173480" cy="1038860"/>
                  <wp:effectExtent l="0" t="0" r="7620" b="8890"/>
                  <wp:wrapNone/>
                  <wp:docPr id="4" name="直接连接符_2"/>
                  <wp:cNvGraphicFramePr/>
                  <a:graphic xmlns:a="http://schemas.openxmlformats.org/drawingml/2006/main">
                    <a:graphicData uri="http://schemas.openxmlformats.org/drawingml/2006/picture">
                      <pic:pic xmlns:pic="http://schemas.openxmlformats.org/drawingml/2006/picture">
                        <pic:nvPicPr>
                          <pic:cNvPr id="4" name="直接连接符_2"/>
                          <pic:cNvPicPr/>
                        </pic:nvPicPr>
                        <pic:blipFill>
                          <a:blip r:embed="rId5"/>
                          <a:stretch>
                            <a:fillRect/>
                          </a:stretch>
                        </pic:blipFill>
                        <pic:spPr>
                          <a:xfrm>
                            <a:off x="0" y="0"/>
                            <a:ext cx="1173480" cy="1038860"/>
                          </a:xfrm>
                          <a:prstGeom prst="rect">
                            <a:avLst/>
                          </a:prstGeom>
                          <a:noFill/>
                          <a:ln>
                            <a:noFill/>
                          </a:ln>
                        </pic:spPr>
                      </pic:pic>
                    </a:graphicData>
                  </a:graphic>
                </wp:anchor>
              </w:drawing>
            </w:r>
            <w:r>
              <w:rPr>
                <w:rFonts w:hint="eastAsia" w:ascii="仿宋" w:hAnsi="仿宋" w:eastAsia="仿宋" w:cs="宋体"/>
                <w:color w:val="000000"/>
                <w:kern w:val="0"/>
                <w:sz w:val="32"/>
                <w:szCs w:val="32"/>
                <w:highlight w:val="none"/>
                <w:bdr w:val="single" w:color="000000" w:sz="4" w:space="0"/>
              </w:rPr>
              <w:drawing>
                <wp:anchor distT="0" distB="0" distL="114300" distR="114300" simplePos="0" relativeHeight="251661312" behindDoc="0" locked="0" layoutInCell="1" allowOverlap="1">
                  <wp:simplePos x="0" y="0"/>
                  <wp:positionH relativeFrom="column">
                    <wp:posOffset>-64135</wp:posOffset>
                  </wp:positionH>
                  <wp:positionV relativeFrom="paragraph">
                    <wp:posOffset>-8255</wp:posOffset>
                  </wp:positionV>
                  <wp:extent cx="1905000" cy="542925"/>
                  <wp:effectExtent l="0" t="0" r="0" b="9525"/>
                  <wp:wrapNone/>
                  <wp:docPr id="3" name="直接连接符_1"/>
                  <wp:cNvGraphicFramePr/>
                  <a:graphic xmlns:a="http://schemas.openxmlformats.org/drawingml/2006/main">
                    <a:graphicData uri="http://schemas.openxmlformats.org/drawingml/2006/picture">
                      <pic:pic xmlns:pic="http://schemas.openxmlformats.org/drawingml/2006/picture">
                        <pic:nvPicPr>
                          <pic:cNvPr id="3" name="直接连接符_1"/>
                          <pic:cNvPicPr/>
                        </pic:nvPicPr>
                        <pic:blipFill>
                          <a:blip r:embed="rId6"/>
                          <a:stretch>
                            <a:fillRect/>
                          </a:stretch>
                        </pic:blipFill>
                        <pic:spPr>
                          <a:xfrm>
                            <a:off x="0" y="0"/>
                            <a:ext cx="1905000" cy="542925"/>
                          </a:xfrm>
                          <a:prstGeom prst="rect">
                            <a:avLst/>
                          </a:prstGeom>
                          <a:noFill/>
                          <a:ln>
                            <a:noFill/>
                          </a:ln>
                        </pic:spPr>
                      </pic:pic>
                    </a:graphicData>
                  </a:graphic>
                </wp:anchor>
              </w:drawing>
            </w:r>
          </w:p>
        </w:tc>
        <w:tc>
          <w:tcPr>
            <w:tcW w:w="833" w:type="pct"/>
            <w:tcBorders>
              <w:top w:val="single" w:color="000000" w:sz="4" w:space="0"/>
              <w:left w:val="nil"/>
              <w:bottom w:val="nil"/>
              <w:right w:val="single" w:color="000000" w:sz="4" w:space="0"/>
            </w:tcBorders>
            <w:noWrap/>
            <w:vAlign w:val="center"/>
          </w:tcPr>
          <w:p w14:paraId="32D9E099">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center"/>
              <w:rPr>
                <w:rFonts w:hint="eastAsia" w:ascii="仿宋" w:hAnsi="仿宋" w:eastAsia="仿宋" w:cs="宋体"/>
                <w:color w:val="000000"/>
                <w:sz w:val="32"/>
                <w:szCs w:val="32"/>
                <w:highlight w:val="none"/>
              </w:rPr>
            </w:pPr>
            <w:r>
              <w:rPr>
                <w:rFonts w:hint="eastAsia" w:ascii="仿宋" w:hAnsi="仿宋" w:eastAsia="仿宋" w:cs="仿宋"/>
                <w:color w:val="000000"/>
                <w:kern w:val="0"/>
                <w:sz w:val="32"/>
                <w:szCs w:val="32"/>
                <w:highlight w:val="none"/>
                <w:lang w:bidi="ar"/>
              </w:rPr>
              <w:t>名次</w:t>
            </w:r>
          </w:p>
        </w:tc>
        <w:tc>
          <w:tcPr>
            <w:tcW w:w="832" w:type="pct"/>
            <w:vMerge w:val="restart"/>
            <w:tcBorders>
              <w:top w:val="single" w:color="000000" w:sz="4" w:space="0"/>
              <w:left w:val="single" w:color="000000" w:sz="4" w:space="0"/>
              <w:bottom w:val="single" w:color="000000" w:sz="4" w:space="0"/>
              <w:right w:val="single" w:color="000000" w:sz="4" w:space="0"/>
            </w:tcBorders>
            <w:noWrap/>
            <w:vAlign w:val="center"/>
          </w:tcPr>
          <w:p w14:paraId="63291ECA">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第一名</w:t>
            </w:r>
          </w:p>
        </w:tc>
        <w:tc>
          <w:tcPr>
            <w:tcW w:w="832" w:type="pct"/>
            <w:vMerge w:val="restart"/>
            <w:tcBorders>
              <w:top w:val="single" w:color="000000" w:sz="4" w:space="0"/>
              <w:left w:val="single" w:color="000000" w:sz="4" w:space="0"/>
              <w:bottom w:val="single" w:color="000000" w:sz="4" w:space="0"/>
              <w:right w:val="single" w:color="000000" w:sz="4" w:space="0"/>
            </w:tcBorders>
            <w:noWrap/>
            <w:vAlign w:val="center"/>
          </w:tcPr>
          <w:p w14:paraId="6A445BB4">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第二名</w:t>
            </w:r>
          </w:p>
        </w:tc>
        <w:tc>
          <w:tcPr>
            <w:tcW w:w="832" w:type="pct"/>
            <w:vMerge w:val="restart"/>
            <w:tcBorders>
              <w:top w:val="single" w:color="000000" w:sz="4" w:space="0"/>
              <w:left w:val="single" w:color="000000" w:sz="4" w:space="0"/>
              <w:bottom w:val="single" w:color="000000" w:sz="4" w:space="0"/>
              <w:right w:val="single" w:color="000000" w:sz="4" w:space="0"/>
            </w:tcBorders>
            <w:noWrap/>
            <w:vAlign w:val="center"/>
          </w:tcPr>
          <w:p w14:paraId="0F23FF5C">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第三名</w:t>
            </w:r>
          </w:p>
        </w:tc>
        <w:tc>
          <w:tcPr>
            <w:tcW w:w="835" w:type="pct"/>
            <w:vMerge w:val="restart"/>
            <w:tcBorders>
              <w:top w:val="single" w:color="000000" w:sz="4" w:space="0"/>
              <w:left w:val="single" w:color="000000" w:sz="4" w:space="0"/>
              <w:bottom w:val="single" w:color="000000" w:sz="4" w:space="0"/>
              <w:right w:val="single" w:color="000000" w:sz="4" w:space="0"/>
            </w:tcBorders>
            <w:noWrap/>
            <w:vAlign w:val="center"/>
          </w:tcPr>
          <w:p w14:paraId="2AD38245">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四及以后</w:t>
            </w:r>
          </w:p>
        </w:tc>
      </w:tr>
      <w:tr w14:paraId="1B603E17">
        <w:tblPrEx>
          <w:tblCellMar>
            <w:top w:w="0" w:type="dxa"/>
            <w:left w:w="108" w:type="dxa"/>
            <w:bottom w:w="0" w:type="dxa"/>
            <w:right w:w="108" w:type="dxa"/>
          </w:tblCellMar>
        </w:tblPrEx>
        <w:trPr>
          <w:trHeight w:val="457" w:hRule="atLeast"/>
        </w:trPr>
        <w:tc>
          <w:tcPr>
            <w:tcW w:w="833" w:type="pct"/>
            <w:tcBorders>
              <w:top w:val="nil"/>
              <w:left w:val="single" w:color="000000" w:sz="4" w:space="0"/>
              <w:bottom w:val="nil"/>
              <w:right w:val="nil"/>
            </w:tcBorders>
            <w:noWrap/>
            <w:vAlign w:val="center"/>
          </w:tcPr>
          <w:p w14:paraId="6DED0AD7">
            <w:pPr>
              <w:keepNext w:val="0"/>
              <w:keepLines w:val="0"/>
              <w:pageBreakBefore w:val="0"/>
              <w:widowControl/>
              <w:kinsoku/>
              <w:wordWrap/>
              <w:overflowPunct/>
              <w:topLinePunct w:val="0"/>
              <w:autoSpaceDE/>
              <w:autoSpaceDN/>
              <w:bidi w:val="0"/>
              <w:adjustRightInd/>
              <w:snapToGrid/>
              <w:spacing w:line="560" w:lineRule="exact"/>
              <w:ind w:firstLine="160" w:firstLineChars="50"/>
              <w:jc w:val="left"/>
              <w:textAlignment w:val="center"/>
              <w:rPr>
                <w:rFonts w:hint="eastAsia" w:ascii="仿宋" w:hAnsi="仿宋" w:eastAsia="仿宋" w:cs="宋体"/>
                <w:color w:val="000000"/>
                <w:sz w:val="32"/>
                <w:szCs w:val="32"/>
                <w:highlight w:val="none"/>
              </w:rPr>
            </w:pPr>
            <w:r>
              <w:rPr>
                <w:rFonts w:hint="eastAsia" w:ascii="仿宋" w:hAnsi="仿宋" w:eastAsia="仿宋" w:cs="仿宋"/>
                <w:color w:val="000000"/>
                <w:kern w:val="0"/>
                <w:sz w:val="32"/>
                <w:szCs w:val="32"/>
                <w:highlight w:val="none"/>
                <w:lang w:bidi="ar"/>
              </w:rPr>
              <w:t>级</w:t>
            </w:r>
          </w:p>
        </w:tc>
        <w:tc>
          <w:tcPr>
            <w:tcW w:w="833" w:type="pct"/>
            <w:tcBorders>
              <w:top w:val="nil"/>
              <w:left w:val="nil"/>
              <w:bottom w:val="nil"/>
              <w:right w:val="single" w:color="000000" w:sz="4" w:space="0"/>
            </w:tcBorders>
            <w:noWrap/>
            <w:vAlign w:val="center"/>
          </w:tcPr>
          <w:p w14:paraId="2EFF0822">
            <w:pPr>
              <w:keepNext w:val="0"/>
              <w:keepLines w:val="0"/>
              <w:pageBreakBefore w:val="0"/>
              <w:widowControl/>
              <w:kinsoku/>
              <w:wordWrap/>
              <w:overflowPunct/>
              <w:topLinePunct w:val="0"/>
              <w:autoSpaceDE/>
              <w:autoSpaceDN/>
              <w:bidi w:val="0"/>
              <w:adjustRightInd/>
              <w:snapToGrid/>
              <w:spacing w:line="560" w:lineRule="exact"/>
              <w:ind w:firstLine="320" w:firstLineChars="100"/>
              <w:rPr>
                <w:rFonts w:hint="eastAsia" w:ascii="仿宋" w:hAnsi="仿宋" w:eastAsia="仿宋" w:cs="宋体"/>
                <w:color w:val="000000"/>
                <w:sz w:val="32"/>
                <w:szCs w:val="32"/>
                <w:highlight w:val="none"/>
              </w:rPr>
            </w:pPr>
            <w:r>
              <w:rPr>
                <w:rFonts w:hint="eastAsia" w:ascii="仿宋" w:hAnsi="仿宋" w:eastAsia="仿宋" w:cs="仿宋"/>
                <w:color w:val="000000"/>
                <w:kern w:val="0"/>
                <w:sz w:val="32"/>
                <w:szCs w:val="32"/>
                <w:highlight w:val="none"/>
                <w:lang w:bidi="ar"/>
              </w:rPr>
              <w:t>评</w:t>
            </w:r>
          </w:p>
        </w:tc>
        <w:tc>
          <w:tcPr>
            <w:tcW w:w="832" w:type="pct"/>
            <w:vMerge w:val="continue"/>
            <w:tcBorders>
              <w:top w:val="single" w:color="000000" w:sz="4" w:space="0"/>
              <w:left w:val="single" w:color="000000" w:sz="4" w:space="0"/>
              <w:bottom w:val="single" w:color="000000" w:sz="4" w:space="0"/>
              <w:right w:val="single" w:color="000000" w:sz="4" w:space="0"/>
            </w:tcBorders>
            <w:noWrap/>
            <w:vAlign w:val="center"/>
          </w:tcPr>
          <w:p w14:paraId="6C57E88C">
            <w:pPr>
              <w:keepNext w:val="0"/>
              <w:keepLines w:val="0"/>
              <w:pageBreakBefore w:val="0"/>
              <w:wordWrap/>
              <w:overflowPunct/>
              <w:topLinePunct w:val="0"/>
              <w:bidi w:val="0"/>
              <w:spacing w:after="120" w:line="560" w:lineRule="exact"/>
              <w:ind w:firstLine="560"/>
              <w:jc w:val="center"/>
              <w:rPr>
                <w:rFonts w:hint="eastAsia" w:ascii="仿宋" w:hAnsi="仿宋" w:eastAsia="仿宋"/>
                <w:sz w:val="32"/>
                <w:szCs w:val="32"/>
                <w:highlight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ign w:val="center"/>
          </w:tcPr>
          <w:p w14:paraId="6A05404B">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ign w:val="center"/>
          </w:tcPr>
          <w:p w14:paraId="3FA6D4D3">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14:paraId="49966F6A">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p>
        </w:tc>
      </w:tr>
      <w:tr w14:paraId="756342F3">
        <w:tblPrEx>
          <w:tblCellMar>
            <w:top w:w="0" w:type="dxa"/>
            <w:left w:w="108" w:type="dxa"/>
            <w:bottom w:w="0" w:type="dxa"/>
            <w:right w:w="108" w:type="dxa"/>
          </w:tblCellMar>
        </w:tblPrEx>
        <w:trPr>
          <w:trHeight w:val="544" w:hRule="atLeast"/>
        </w:trPr>
        <w:tc>
          <w:tcPr>
            <w:tcW w:w="833" w:type="pct"/>
            <w:tcBorders>
              <w:top w:val="nil"/>
              <w:left w:val="single" w:color="000000" w:sz="4" w:space="0"/>
              <w:bottom w:val="single" w:color="000000" w:sz="4" w:space="0"/>
              <w:right w:val="nil"/>
            </w:tcBorders>
            <w:noWrap/>
            <w:vAlign w:val="center"/>
          </w:tcPr>
          <w:p w14:paraId="5A427758">
            <w:pPr>
              <w:keepNext w:val="0"/>
              <w:keepLines w:val="0"/>
              <w:pageBreakBefore w:val="0"/>
              <w:widowControl/>
              <w:kinsoku/>
              <w:wordWrap/>
              <w:overflowPunct/>
              <w:topLinePunct w:val="0"/>
              <w:autoSpaceDE/>
              <w:autoSpaceDN/>
              <w:bidi w:val="0"/>
              <w:adjustRightInd/>
              <w:snapToGrid/>
              <w:spacing w:line="560" w:lineRule="exact"/>
              <w:ind w:firstLine="160" w:firstLineChars="50"/>
              <w:jc w:val="left"/>
              <w:textAlignment w:val="center"/>
              <w:rPr>
                <w:rFonts w:hint="eastAsia" w:ascii="仿宋" w:hAnsi="仿宋" w:eastAsia="仿宋" w:cs="宋体"/>
                <w:color w:val="000000"/>
                <w:sz w:val="32"/>
                <w:szCs w:val="32"/>
                <w:highlight w:val="none"/>
              </w:rPr>
            </w:pPr>
            <w:r>
              <w:rPr>
                <w:rFonts w:hint="eastAsia" w:ascii="仿宋" w:hAnsi="仿宋" w:eastAsia="仿宋" w:cs="仿宋"/>
                <w:color w:val="000000"/>
                <w:kern w:val="0"/>
                <w:sz w:val="32"/>
                <w:szCs w:val="32"/>
                <w:highlight w:val="none"/>
                <w:lang w:bidi="ar"/>
              </w:rPr>
              <w:t>别</w:t>
            </w:r>
          </w:p>
        </w:tc>
        <w:tc>
          <w:tcPr>
            <w:tcW w:w="833" w:type="pct"/>
            <w:tcBorders>
              <w:top w:val="nil"/>
              <w:left w:val="nil"/>
              <w:bottom w:val="single" w:color="000000" w:sz="4" w:space="0"/>
              <w:right w:val="single" w:color="000000" w:sz="4" w:space="0"/>
            </w:tcBorders>
            <w:noWrap/>
            <w:vAlign w:val="center"/>
          </w:tcPr>
          <w:p w14:paraId="63D65F85">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center"/>
              <w:rPr>
                <w:rFonts w:hint="eastAsia" w:ascii="仿宋" w:hAnsi="仿宋" w:eastAsia="仿宋" w:cs="宋体"/>
                <w:color w:val="000000"/>
                <w:sz w:val="32"/>
                <w:szCs w:val="32"/>
                <w:highlight w:val="none"/>
              </w:rPr>
            </w:pPr>
            <w:r>
              <w:rPr>
                <w:rFonts w:hint="eastAsia" w:ascii="仿宋" w:hAnsi="仿宋" w:eastAsia="仿宋" w:cs="仿宋"/>
                <w:color w:val="000000"/>
                <w:kern w:val="0"/>
                <w:sz w:val="32"/>
                <w:szCs w:val="32"/>
                <w:highlight w:val="none"/>
                <w:lang w:bidi="ar"/>
              </w:rPr>
              <w:t>分</w:t>
            </w:r>
          </w:p>
        </w:tc>
        <w:tc>
          <w:tcPr>
            <w:tcW w:w="832" w:type="pct"/>
            <w:vMerge w:val="continue"/>
            <w:tcBorders>
              <w:top w:val="single" w:color="000000" w:sz="4" w:space="0"/>
              <w:left w:val="single" w:color="000000" w:sz="4" w:space="0"/>
              <w:bottom w:val="single" w:color="000000" w:sz="4" w:space="0"/>
              <w:right w:val="single" w:color="000000" w:sz="4" w:space="0"/>
            </w:tcBorders>
            <w:noWrap/>
            <w:vAlign w:val="center"/>
          </w:tcPr>
          <w:p w14:paraId="41019D15">
            <w:pPr>
              <w:keepNext w:val="0"/>
              <w:keepLines w:val="0"/>
              <w:pageBreakBefore w:val="0"/>
              <w:wordWrap/>
              <w:overflowPunct/>
              <w:topLinePunct w:val="0"/>
              <w:bidi w:val="0"/>
              <w:spacing w:after="120" w:line="560" w:lineRule="exact"/>
              <w:ind w:firstLine="560"/>
              <w:jc w:val="center"/>
              <w:rPr>
                <w:rFonts w:hint="eastAsia" w:ascii="仿宋" w:hAnsi="仿宋" w:eastAsia="仿宋"/>
                <w:sz w:val="32"/>
                <w:szCs w:val="32"/>
                <w:highlight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ign w:val="center"/>
          </w:tcPr>
          <w:p w14:paraId="228D9B9D">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p>
        </w:tc>
        <w:tc>
          <w:tcPr>
            <w:tcW w:w="832" w:type="pct"/>
            <w:vMerge w:val="continue"/>
            <w:tcBorders>
              <w:top w:val="single" w:color="000000" w:sz="4" w:space="0"/>
              <w:left w:val="single" w:color="000000" w:sz="4" w:space="0"/>
              <w:bottom w:val="single" w:color="000000" w:sz="4" w:space="0"/>
              <w:right w:val="single" w:color="000000" w:sz="4" w:space="0"/>
            </w:tcBorders>
            <w:noWrap/>
            <w:vAlign w:val="center"/>
          </w:tcPr>
          <w:p w14:paraId="0F5C7B5C">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14:paraId="3111618E">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p>
        </w:tc>
      </w:tr>
      <w:tr w14:paraId="0E14958B">
        <w:tblPrEx>
          <w:tblCellMar>
            <w:top w:w="0" w:type="dxa"/>
            <w:left w:w="108" w:type="dxa"/>
            <w:bottom w:w="0" w:type="dxa"/>
            <w:right w:w="108" w:type="dxa"/>
          </w:tblCellMar>
        </w:tblPrEx>
        <w:trPr>
          <w:trHeight w:val="466" w:hRule="atLeast"/>
        </w:trPr>
        <w:tc>
          <w:tcPr>
            <w:tcW w:w="1666" w:type="pct"/>
            <w:gridSpan w:val="2"/>
            <w:tcBorders>
              <w:top w:val="single" w:color="000000" w:sz="4" w:space="0"/>
              <w:left w:val="single" w:color="000000" w:sz="4" w:space="0"/>
              <w:bottom w:val="single" w:color="000000" w:sz="4" w:space="0"/>
              <w:right w:val="single" w:color="000000" w:sz="4" w:space="0"/>
            </w:tcBorders>
            <w:noWrap/>
            <w:vAlign w:val="center"/>
          </w:tcPr>
          <w:p w14:paraId="0590E464">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国家级</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7C8E743">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3.0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CFB1223">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2.8</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B277FC8">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2.6</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196CD178">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2.4</w:t>
            </w:r>
          </w:p>
        </w:tc>
      </w:tr>
      <w:tr w14:paraId="49CE578E">
        <w:tblPrEx>
          <w:tblCellMar>
            <w:top w:w="0" w:type="dxa"/>
            <w:left w:w="108" w:type="dxa"/>
            <w:bottom w:w="0" w:type="dxa"/>
            <w:right w:w="108" w:type="dxa"/>
          </w:tblCellMar>
        </w:tblPrEx>
        <w:trPr>
          <w:trHeight w:val="466" w:hRule="atLeast"/>
        </w:trPr>
        <w:tc>
          <w:tcPr>
            <w:tcW w:w="1666" w:type="pct"/>
            <w:gridSpan w:val="2"/>
            <w:tcBorders>
              <w:top w:val="single" w:color="000000" w:sz="4" w:space="0"/>
              <w:left w:val="single" w:color="000000" w:sz="4" w:space="0"/>
              <w:bottom w:val="single" w:color="000000" w:sz="4" w:space="0"/>
              <w:right w:val="single" w:color="000000" w:sz="4" w:space="0"/>
            </w:tcBorders>
            <w:noWrap/>
            <w:vAlign w:val="center"/>
          </w:tcPr>
          <w:p w14:paraId="3FF2CB94">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省部级</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3920770">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2.4</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34AC001">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2.2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1B73C28">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2.0</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69378A9E">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1.8</w:t>
            </w:r>
          </w:p>
        </w:tc>
      </w:tr>
      <w:tr w14:paraId="2F0684FC">
        <w:tblPrEx>
          <w:tblCellMar>
            <w:top w:w="0" w:type="dxa"/>
            <w:left w:w="108" w:type="dxa"/>
            <w:bottom w:w="0" w:type="dxa"/>
            <w:right w:w="108" w:type="dxa"/>
          </w:tblCellMar>
        </w:tblPrEx>
        <w:trPr>
          <w:trHeight w:val="466" w:hRule="atLeast"/>
        </w:trPr>
        <w:tc>
          <w:tcPr>
            <w:tcW w:w="1666" w:type="pct"/>
            <w:gridSpan w:val="2"/>
            <w:tcBorders>
              <w:top w:val="single" w:color="000000" w:sz="4" w:space="0"/>
              <w:left w:val="single" w:color="000000" w:sz="4" w:space="0"/>
              <w:bottom w:val="single" w:color="000000" w:sz="4" w:space="0"/>
              <w:right w:val="single" w:color="000000" w:sz="4" w:space="0"/>
            </w:tcBorders>
            <w:noWrap/>
            <w:vAlign w:val="center"/>
          </w:tcPr>
          <w:p w14:paraId="7595E30C">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校级</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E2D5D2C">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1.8</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DA6C17D">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1.6</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29165CF">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1.4</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2BBF7F08">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1.2</w:t>
            </w:r>
          </w:p>
        </w:tc>
      </w:tr>
      <w:tr w14:paraId="0AA0541A">
        <w:tblPrEx>
          <w:tblCellMar>
            <w:top w:w="0" w:type="dxa"/>
            <w:left w:w="108" w:type="dxa"/>
            <w:bottom w:w="0" w:type="dxa"/>
            <w:right w:w="108" w:type="dxa"/>
          </w:tblCellMar>
        </w:tblPrEx>
        <w:trPr>
          <w:trHeight w:val="480" w:hRule="atLeast"/>
        </w:trPr>
        <w:tc>
          <w:tcPr>
            <w:tcW w:w="1666" w:type="pct"/>
            <w:gridSpan w:val="2"/>
            <w:tcBorders>
              <w:top w:val="single" w:color="000000" w:sz="4" w:space="0"/>
              <w:left w:val="single" w:color="000000" w:sz="4" w:space="0"/>
              <w:bottom w:val="single" w:color="000000" w:sz="4" w:space="0"/>
              <w:right w:val="single" w:color="000000" w:sz="4" w:space="0"/>
            </w:tcBorders>
            <w:noWrap/>
            <w:vAlign w:val="center"/>
          </w:tcPr>
          <w:p w14:paraId="7EF1F9C9">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院级</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CEAFA05">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85E773A">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FE47C3B">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0.8</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3B106639">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0.6</w:t>
            </w:r>
          </w:p>
        </w:tc>
      </w:tr>
    </w:tbl>
    <w:p w14:paraId="55F384CC">
      <w:pPr>
        <w:pStyle w:val="3"/>
        <w:keepNext w:val="0"/>
        <w:keepLines w:val="0"/>
        <w:pageBreakBefore w:val="0"/>
        <w:wordWrap/>
        <w:overflowPunct/>
        <w:topLinePunct w:val="0"/>
        <w:bidi w:val="0"/>
        <w:spacing w:after="120" w:line="560" w:lineRule="exact"/>
        <w:ind w:left="0" w:leftChars="0"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备注：</w:t>
      </w:r>
      <w:r>
        <w:rPr>
          <w:rFonts w:hint="eastAsia" w:ascii="仿宋" w:hAnsi="仿宋" w:eastAsia="仿宋"/>
          <w:color w:val="000000"/>
          <w:sz w:val="28"/>
          <w:szCs w:val="28"/>
          <w:highlight w:val="none"/>
        </w:rPr>
        <w:t>①比赛若设一、二、三等奖和优秀奖，计分对应值为：一等奖对应第1名的分值，二等奖对应第2名的分值，三等奖对应第3名的分值，优秀奖对应第4名及以后的分值；</w:t>
      </w:r>
    </w:p>
    <w:p w14:paraId="7B3BBB06">
      <w:pPr>
        <w:pStyle w:val="3"/>
        <w:keepNext w:val="0"/>
        <w:keepLines w:val="0"/>
        <w:pageBreakBefore w:val="0"/>
        <w:wordWrap/>
        <w:overflowPunct/>
        <w:topLinePunct w:val="0"/>
        <w:bidi w:val="0"/>
        <w:spacing w:after="120" w:line="560" w:lineRule="exact"/>
        <w:ind w:left="0" w:leftChars="0"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②获校级精神文明奖、最具创意奖、最具人气奖等加1.0分，获院级精神文明奖、最具创意奖、最具人气奖等加0.5分。</w:t>
      </w:r>
    </w:p>
    <w:p w14:paraId="3BC57D49">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（2）参加社团联合会体育竞赛，分别以一、二、三等奖加1.2、1.0、0.8分，优秀奖加0.6分。</w:t>
      </w:r>
    </w:p>
    <w:p w14:paraId="78A01D63">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rPr>
        <w:t>）参加体育赛事展演活动，每次加0.6分</w:t>
      </w:r>
    </w:p>
    <w:p w14:paraId="3A549CD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rPr>
        <w:t>）代表学院参加学校组织的各类体育比赛(如运动会、越野赛、篮球赛、排球赛、足球赛、羽毛球比赛、乒乓球赛、跳绳比赛、拔河比赛等)，未获名次者每人次加0.2分;除上述比赛外，在学校组织的其他比赛中未获得名次者每人加0.2分。</w:t>
      </w:r>
    </w:p>
    <w:p w14:paraId="15621433">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该项总分不超过3分。</w:t>
      </w:r>
    </w:p>
    <w:p w14:paraId="4AD80180">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4.加分项（加分上限为1分，累计加分超过1分的以1分计）</w:t>
      </w:r>
    </w:p>
    <w:p w14:paraId="015F74CC">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学生选修《塑身瑜珈》《太极拳》《气排球》《篮球文化解析与赛事鉴赏》《篮球规则与裁判法》等体育类选修课程，考核合格的，每门次加0.5分。</w:t>
      </w:r>
    </w:p>
    <w:p w14:paraId="16333DCC">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（二）美育（10分）</w:t>
      </w:r>
    </w:p>
    <w:p w14:paraId="1CAFC5E0">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bookmarkStart w:id="4" w:name="_Hlk27401322"/>
      <w:r>
        <w:rPr>
          <w:rFonts w:hint="eastAsia" w:ascii="仿宋" w:hAnsi="仿宋" w:eastAsia="仿宋"/>
          <w:color w:val="000000"/>
          <w:sz w:val="32"/>
          <w:szCs w:val="32"/>
          <w:highlight w:val="none"/>
        </w:rPr>
        <w:t>美育主要考察学生日常审美水平、参加校园文化活动情况、参加文艺创作情况和加分项四部分内容。（该项总分不超过10分，累计得分超过10分的按10分计）</w:t>
      </w:r>
    </w:p>
    <w:p w14:paraId="750348D0">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1.日常审美水平（3分）</w:t>
      </w:r>
    </w:p>
    <w:p w14:paraId="3B21AA70">
      <w:pPr>
        <w:keepNext w:val="0"/>
        <w:keepLines w:val="0"/>
        <w:pageBreakBefore w:val="0"/>
        <w:wordWrap/>
        <w:overflowPunct/>
        <w:topLinePunct w:val="0"/>
        <w:bidi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bCs/>
          <w:sz w:val="32"/>
          <w:szCs w:val="32"/>
          <w:highlight w:val="none"/>
        </w:rPr>
        <w:t>班级素测工作小组</w:t>
      </w:r>
      <w:r>
        <w:rPr>
          <w:rFonts w:hint="eastAsia" w:ascii="仿宋" w:hAnsi="仿宋" w:eastAsia="仿宋"/>
          <w:kern w:val="0"/>
          <w:sz w:val="32"/>
          <w:szCs w:val="32"/>
          <w:highlight w:val="none"/>
        </w:rPr>
        <w:t>在全面了解班级学生的基础上，根据学生日常生活表现进行综合评价赋分，评价标准如下：</w:t>
      </w:r>
    </w:p>
    <w:p w14:paraId="11461C72">
      <w:pPr>
        <w:keepNext w:val="0"/>
        <w:keepLines w:val="0"/>
        <w:pageBreakBefore w:val="0"/>
        <w:wordWrap/>
        <w:overflowPunct/>
        <w:topLinePunct w:val="0"/>
        <w:bidi w:val="0"/>
        <w:spacing w:after="120" w:line="560" w:lineRule="exact"/>
        <w:ind w:left="640"/>
        <w:rPr>
          <w:rFonts w:hint="eastAsia" w:ascii="仿宋" w:hAnsi="仿宋" w:eastAsia="仿宋"/>
          <w:color w:val="000000"/>
          <w:sz w:val="32"/>
          <w:szCs w:val="32"/>
          <w:highlight w:val="none"/>
        </w:rPr>
      </w:pPr>
      <w:r>
        <w:rPr>
          <w:rFonts w:hint="eastAsia" w:ascii="仿宋" w:hAnsi="仿宋" w:eastAsia="仿宋"/>
          <w:bCs/>
          <w:color w:val="000000"/>
          <w:sz w:val="32"/>
          <w:szCs w:val="32"/>
          <w:highlight w:val="none"/>
        </w:rPr>
        <w:t>（1）</w:t>
      </w:r>
      <w:r>
        <w:rPr>
          <w:rFonts w:hint="eastAsia" w:ascii="仿宋" w:hAnsi="仿宋" w:eastAsia="仿宋"/>
          <w:color w:val="000000"/>
          <w:sz w:val="32"/>
          <w:szCs w:val="32"/>
          <w:highlight w:val="none"/>
        </w:rPr>
        <w:t>拥有正确的审美观念、穿着大方得体，得1.5分；</w:t>
      </w:r>
    </w:p>
    <w:p w14:paraId="76A4E8BD">
      <w:pPr>
        <w:keepNext w:val="0"/>
        <w:keepLines w:val="0"/>
        <w:pageBreakBefore w:val="0"/>
        <w:tabs>
          <w:tab w:val="left" w:pos="1276"/>
          <w:tab w:val="left" w:pos="1418"/>
        </w:tabs>
        <w:wordWrap/>
        <w:overflowPunct/>
        <w:topLinePunct w:val="0"/>
        <w:bidi w:val="0"/>
        <w:spacing w:after="120" w:line="560" w:lineRule="exact"/>
        <w:ind w:left="640"/>
        <w:rPr>
          <w:rFonts w:hint="eastAsia" w:ascii="仿宋" w:hAnsi="仿宋" w:eastAsia="仿宋"/>
          <w:color w:val="000000"/>
          <w:sz w:val="32"/>
          <w:szCs w:val="32"/>
          <w:highlight w:val="none"/>
        </w:rPr>
      </w:pPr>
      <w:r>
        <w:rPr>
          <w:rFonts w:hint="eastAsia" w:ascii="仿宋" w:hAnsi="仿宋" w:eastAsia="仿宋"/>
          <w:bCs/>
          <w:color w:val="000000"/>
          <w:sz w:val="32"/>
          <w:szCs w:val="32"/>
          <w:highlight w:val="none"/>
        </w:rPr>
        <w:t>（2）</w:t>
      </w:r>
      <w:r>
        <w:rPr>
          <w:rFonts w:hint="eastAsia" w:ascii="仿宋" w:hAnsi="仿宋" w:eastAsia="仿宋"/>
          <w:color w:val="000000"/>
          <w:sz w:val="32"/>
          <w:szCs w:val="32"/>
          <w:highlight w:val="none"/>
        </w:rPr>
        <w:t>拥有健康的生活习惯，日常无不文明行为，得1.5分。</w:t>
      </w:r>
    </w:p>
    <w:p w14:paraId="42831B4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2.校园文化活动参与情况（4分）</w:t>
      </w:r>
    </w:p>
    <w:p w14:paraId="7EBE37B3">
      <w:pPr>
        <w:keepNext w:val="0"/>
        <w:keepLines w:val="0"/>
        <w:pageBreakBefore w:val="0"/>
        <w:widowControl/>
        <w:wordWrap/>
        <w:overflowPunct/>
        <w:topLinePunct w:val="0"/>
        <w:bidi w:val="0"/>
        <w:spacing w:after="120" w:line="560" w:lineRule="exact"/>
        <w:ind w:firstLine="640" w:firstLineChars="200"/>
        <w:jc w:val="left"/>
        <w:rPr>
          <w:rFonts w:hint="eastAsia" w:ascii="仿宋" w:hAnsi="仿宋" w:eastAsia="仿宋"/>
          <w:kern w:val="0"/>
          <w:sz w:val="32"/>
          <w:szCs w:val="32"/>
          <w:highlight w:val="none"/>
        </w:rPr>
      </w:pPr>
      <w:r>
        <w:rPr>
          <w:rFonts w:hint="eastAsia" w:ascii="仿宋" w:hAnsi="仿宋" w:eastAsia="仿宋"/>
          <w:bCs/>
          <w:color w:val="000000"/>
          <w:sz w:val="32"/>
          <w:szCs w:val="32"/>
          <w:highlight w:val="none"/>
        </w:rPr>
        <w:t>（1）</w:t>
      </w:r>
      <w:r>
        <w:rPr>
          <w:rFonts w:hint="eastAsia" w:ascii="仿宋" w:hAnsi="仿宋" w:eastAsia="仿宋"/>
          <w:kern w:val="0"/>
          <w:sz w:val="32"/>
          <w:szCs w:val="32"/>
          <w:highlight w:val="none"/>
        </w:rPr>
        <w:t>参加校、院文艺演出(包括主持人)校级每次加1分，院级每次加0.5分</w:t>
      </w:r>
      <w:r>
        <w:rPr>
          <w:rFonts w:hint="eastAsia" w:ascii="仿宋" w:hAnsi="仿宋" w:eastAsia="仿宋" w:cs="宋体"/>
          <w:color w:val="000000"/>
          <w:kern w:val="0"/>
          <w:sz w:val="32"/>
          <w:szCs w:val="32"/>
          <w:highlight w:val="none"/>
          <w:lang w:bidi="ar"/>
        </w:rPr>
        <w:t>（如迎新晚会、元旦晚会、毕业生晚会等）。</w:t>
      </w:r>
    </w:p>
    <w:p w14:paraId="626C7D4A">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（2）担任文化类社团（如舞蹈、音乐、美术、文学、话剧、篆刻、书法等）负责人，得2分，社员加1分。担任文化类院队负责人，得1.5分，队员加0.5分。</w:t>
      </w:r>
    </w:p>
    <w:p w14:paraId="5AB8FDC9">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（3）参加美育赛事的赛前训练（啦啦操训练、舞蹈大赛等），出勤率100%加1分，99%-90%加0.8分、89%—60%加0.5分、60%以下加0.2分。此项最高加</w:t>
      </w:r>
      <w:r>
        <w:rPr>
          <w:rFonts w:hint="eastAsia" w:ascii="仿宋" w:hAnsi="仿宋" w:eastAsia="仿宋"/>
          <w:bCs/>
          <w:color w:val="000000"/>
          <w:sz w:val="32"/>
          <w:szCs w:val="32"/>
          <w:highlight w:val="none"/>
          <w:lang w:val="en-US" w:eastAsia="zh-CN"/>
        </w:rPr>
        <w:t>3</w:t>
      </w:r>
      <w:r>
        <w:rPr>
          <w:rFonts w:hint="eastAsia" w:ascii="仿宋" w:hAnsi="仿宋" w:eastAsia="仿宋"/>
          <w:bCs/>
          <w:color w:val="000000"/>
          <w:sz w:val="32"/>
          <w:szCs w:val="32"/>
          <w:highlight w:val="none"/>
        </w:rPr>
        <w:t>分。</w:t>
      </w:r>
    </w:p>
    <w:p w14:paraId="09549C8E">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此项加分最高不超过4分。此项结果以第二课堂记录、学校学院证明文件为准。</w:t>
      </w:r>
    </w:p>
    <w:p w14:paraId="7577CCA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bCs/>
          <w:color w:val="000000"/>
          <w:sz w:val="32"/>
          <w:szCs w:val="32"/>
          <w:highlight w:val="none"/>
        </w:rPr>
      </w:pPr>
      <w:r>
        <w:rPr>
          <w:rFonts w:hint="eastAsia" w:ascii="仿宋" w:hAnsi="仿宋" w:eastAsia="仿宋"/>
          <w:b w:val="0"/>
          <w:bCs w:val="0"/>
          <w:color w:val="000000"/>
          <w:sz w:val="32"/>
          <w:szCs w:val="32"/>
          <w:highlight w:val="none"/>
        </w:rPr>
        <w:t>3.文艺创作参与及获奖情况（3分）</w:t>
      </w:r>
    </w:p>
    <w:p w14:paraId="3C5004AB">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rPr>
        <w:t>（1）参加文艺创作比赛(如舞蹈大赛、</w:t>
      </w:r>
      <w:r>
        <w:rPr>
          <w:rFonts w:hint="eastAsia" w:ascii="仿宋" w:hAnsi="仿宋" w:eastAsia="仿宋"/>
          <w:color w:val="000000"/>
          <w:sz w:val="32"/>
          <w:szCs w:val="32"/>
          <w:highlight w:val="none"/>
          <w:lang w:val="en-US" w:eastAsia="zh-CN"/>
        </w:rPr>
        <w:t>十佳歌手比赛、</w:t>
      </w:r>
      <w:r>
        <w:rPr>
          <w:rFonts w:hint="eastAsia" w:ascii="仿宋" w:hAnsi="仿宋" w:eastAsia="仿宋"/>
          <w:color w:val="000000"/>
          <w:sz w:val="32"/>
          <w:szCs w:val="32"/>
          <w:highlight w:val="none"/>
        </w:rPr>
        <w:t>歌咏比赛、相声小品大赛、演讲比赛、主持人大赛、形象大使大赛、书画展、手工艺品展、辩论比赛等)</w:t>
      </w:r>
    </w:p>
    <w:tbl>
      <w:tblPr>
        <w:tblStyle w:val="2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04"/>
        <w:gridCol w:w="1755"/>
        <w:gridCol w:w="1339"/>
        <w:gridCol w:w="1297"/>
        <w:gridCol w:w="1940"/>
      </w:tblGrid>
      <w:tr w14:paraId="39F0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4" w:hRule="atLeast"/>
          <w:jc w:val="center"/>
        </w:trPr>
        <w:tc>
          <w:tcPr>
            <w:tcW w:w="1375" w:type="pct"/>
            <w:noWrap w:val="0"/>
            <w:vAlign w:val="top"/>
          </w:tcPr>
          <w:p w14:paraId="16EBCCE8">
            <w:pPr>
              <w:keepNext w:val="0"/>
              <w:keepLines w:val="0"/>
              <w:pageBreakBefore w:val="0"/>
              <w:widowControl/>
              <w:kinsoku w:val="0"/>
              <w:wordWrap/>
              <w:overflowPunct/>
              <w:topLinePunct w:val="0"/>
              <w:autoSpaceDE w:val="0"/>
              <w:autoSpaceDN w:val="0"/>
              <w:bidi w:val="0"/>
              <w:adjustRightInd w:val="0"/>
              <w:snapToGrid w:val="0"/>
              <w:spacing w:after="120" w:line="560" w:lineRule="exact"/>
              <w:ind w:firstLine="420"/>
              <w:jc w:val="left"/>
              <w:textAlignment w:val="baseline"/>
              <w:rPr>
                <w:rFonts w:hint="eastAsia" w:ascii="仿宋" w:hAnsi="仿宋" w:eastAsia="仿宋" w:cs="Arial"/>
                <w:snapToGrid w:val="0"/>
                <w:color w:val="000000"/>
                <w:kern w:val="0"/>
                <w:sz w:val="32"/>
                <w:szCs w:val="32"/>
                <w:highlight w:val="none"/>
              </w:rPr>
            </w:pPr>
            <w:r>
              <w:rPr>
                <w:rFonts w:ascii="仿宋" w:hAnsi="仿宋" w:eastAsia="仿宋" w:cs="Arial"/>
                <w:snapToGrid w:val="0"/>
                <w:color w:val="000000"/>
                <w:kern w:val="0"/>
                <w:position w:val="-28"/>
                <w:sz w:val="32"/>
                <w:szCs w:val="32"/>
                <w:highlight w:val="none"/>
              </w:rPr>
              <w:drawing>
                <wp:anchor distT="0" distB="0" distL="114300" distR="114300" simplePos="0" relativeHeight="251659264" behindDoc="1" locked="0" layoutInCell="1" allowOverlap="1">
                  <wp:simplePos x="0" y="0"/>
                  <wp:positionH relativeFrom="column">
                    <wp:posOffset>-7620</wp:posOffset>
                  </wp:positionH>
                  <wp:positionV relativeFrom="paragraph">
                    <wp:posOffset>-3810</wp:posOffset>
                  </wp:positionV>
                  <wp:extent cx="1551305" cy="746125"/>
                  <wp:effectExtent l="0" t="0" r="10795" b="15875"/>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7"/>
                          <a:stretch>
                            <a:fillRect/>
                          </a:stretch>
                        </pic:blipFill>
                        <pic:spPr>
                          <a:xfrm>
                            <a:off x="0" y="0"/>
                            <a:ext cx="1551305" cy="746125"/>
                          </a:xfrm>
                          <a:prstGeom prst="rect">
                            <a:avLst/>
                          </a:prstGeom>
                          <a:noFill/>
                          <a:ln>
                            <a:noFill/>
                          </a:ln>
                        </pic:spPr>
                      </pic:pic>
                    </a:graphicData>
                  </a:graphic>
                </wp:anchor>
              </w:drawing>
            </w:r>
          </w:p>
        </w:tc>
        <w:tc>
          <w:tcPr>
            <w:tcW w:w="1004" w:type="pct"/>
            <w:noWrap w:val="0"/>
            <w:vAlign w:val="center"/>
          </w:tcPr>
          <w:p w14:paraId="14BE4753">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第一名</w:t>
            </w:r>
          </w:p>
        </w:tc>
        <w:tc>
          <w:tcPr>
            <w:tcW w:w="766" w:type="pct"/>
            <w:noWrap w:val="0"/>
            <w:vAlign w:val="center"/>
          </w:tcPr>
          <w:p w14:paraId="35D9A71A">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第二名</w:t>
            </w:r>
          </w:p>
        </w:tc>
        <w:tc>
          <w:tcPr>
            <w:tcW w:w="742" w:type="pct"/>
            <w:noWrap w:val="0"/>
            <w:vAlign w:val="center"/>
          </w:tcPr>
          <w:p w14:paraId="2DE1B0BC">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第三名</w:t>
            </w:r>
          </w:p>
        </w:tc>
        <w:tc>
          <w:tcPr>
            <w:tcW w:w="1109" w:type="pct"/>
            <w:noWrap w:val="0"/>
            <w:vAlign w:val="center"/>
          </w:tcPr>
          <w:p w14:paraId="4173A322">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第四名及以后</w:t>
            </w:r>
          </w:p>
        </w:tc>
      </w:tr>
      <w:tr w14:paraId="5FDC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1375" w:type="pct"/>
            <w:noWrap w:val="0"/>
            <w:vAlign w:val="center"/>
          </w:tcPr>
          <w:p w14:paraId="22ADCF26">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国家级</w:t>
            </w:r>
          </w:p>
        </w:tc>
        <w:tc>
          <w:tcPr>
            <w:tcW w:w="1004" w:type="pct"/>
            <w:noWrap w:val="0"/>
            <w:vAlign w:val="center"/>
          </w:tcPr>
          <w:p w14:paraId="7AF62D49">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3.0</w:t>
            </w:r>
          </w:p>
        </w:tc>
        <w:tc>
          <w:tcPr>
            <w:tcW w:w="766" w:type="pct"/>
            <w:noWrap w:val="0"/>
            <w:vAlign w:val="center"/>
          </w:tcPr>
          <w:p w14:paraId="1A3A6FFE">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2.8</w:t>
            </w:r>
          </w:p>
        </w:tc>
        <w:tc>
          <w:tcPr>
            <w:tcW w:w="742" w:type="pct"/>
            <w:noWrap w:val="0"/>
            <w:vAlign w:val="center"/>
          </w:tcPr>
          <w:p w14:paraId="31F3DA11">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2.6</w:t>
            </w:r>
          </w:p>
        </w:tc>
        <w:tc>
          <w:tcPr>
            <w:tcW w:w="1109" w:type="pct"/>
            <w:noWrap w:val="0"/>
            <w:vAlign w:val="center"/>
          </w:tcPr>
          <w:p w14:paraId="78DBC89F">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2.4</w:t>
            </w:r>
          </w:p>
        </w:tc>
      </w:tr>
      <w:tr w14:paraId="39296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375" w:type="pct"/>
            <w:noWrap w:val="0"/>
            <w:vAlign w:val="center"/>
          </w:tcPr>
          <w:p w14:paraId="6EECD0C4">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省部级</w:t>
            </w:r>
          </w:p>
        </w:tc>
        <w:tc>
          <w:tcPr>
            <w:tcW w:w="1004" w:type="pct"/>
            <w:noWrap w:val="0"/>
            <w:vAlign w:val="center"/>
          </w:tcPr>
          <w:p w14:paraId="2ABF42F8">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2.4</w:t>
            </w:r>
          </w:p>
        </w:tc>
        <w:tc>
          <w:tcPr>
            <w:tcW w:w="766" w:type="pct"/>
            <w:noWrap w:val="0"/>
            <w:vAlign w:val="center"/>
          </w:tcPr>
          <w:p w14:paraId="3B6AB8E7">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2.2</w:t>
            </w:r>
          </w:p>
        </w:tc>
        <w:tc>
          <w:tcPr>
            <w:tcW w:w="742" w:type="pct"/>
            <w:noWrap w:val="0"/>
            <w:vAlign w:val="center"/>
          </w:tcPr>
          <w:p w14:paraId="3F50529E">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2.0</w:t>
            </w:r>
          </w:p>
        </w:tc>
        <w:tc>
          <w:tcPr>
            <w:tcW w:w="1109" w:type="pct"/>
            <w:noWrap w:val="0"/>
            <w:vAlign w:val="center"/>
          </w:tcPr>
          <w:p w14:paraId="462762F4">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1.8</w:t>
            </w:r>
          </w:p>
        </w:tc>
      </w:tr>
      <w:tr w14:paraId="506B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375" w:type="pct"/>
            <w:noWrap w:val="0"/>
            <w:vAlign w:val="center"/>
          </w:tcPr>
          <w:p w14:paraId="5E5898C7">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校级</w:t>
            </w:r>
          </w:p>
        </w:tc>
        <w:tc>
          <w:tcPr>
            <w:tcW w:w="1004" w:type="pct"/>
            <w:noWrap w:val="0"/>
            <w:vAlign w:val="center"/>
          </w:tcPr>
          <w:p w14:paraId="6680B44E">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1.8</w:t>
            </w:r>
          </w:p>
        </w:tc>
        <w:tc>
          <w:tcPr>
            <w:tcW w:w="766" w:type="pct"/>
            <w:noWrap w:val="0"/>
            <w:vAlign w:val="center"/>
          </w:tcPr>
          <w:p w14:paraId="1488DC2C">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1.6</w:t>
            </w:r>
          </w:p>
        </w:tc>
        <w:tc>
          <w:tcPr>
            <w:tcW w:w="742" w:type="pct"/>
            <w:noWrap w:val="0"/>
            <w:vAlign w:val="center"/>
          </w:tcPr>
          <w:p w14:paraId="70CC7233">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1.4</w:t>
            </w:r>
          </w:p>
        </w:tc>
        <w:tc>
          <w:tcPr>
            <w:tcW w:w="1109" w:type="pct"/>
            <w:noWrap w:val="0"/>
            <w:vAlign w:val="center"/>
          </w:tcPr>
          <w:p w14:paraId="687DC499">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1.2</w:t>
            </w:r>
          </w:p>
        </w:tc>
      </w:tr>
      <w:tr w14:paraId="7432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1375" w:type="pct"/>
            <w:noWrap w:val="0"/>
            <w:vAlign w:val="center"/>
          </w:tcPr>
          <w:p w14:paraId="5ACD816B">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院级</w:t>
            </w:r>
          </w:p>
        </w:tc>
        <w:tc>
          <w:tcPr>
            <w:tcW w:w="1004" w:type="pct"/>
            <w:noWrap w:val="0"/>
            <w:vAlign w:val="center"/>
          </w:tcPr>
          <w:p w14:paraId="4DBE78F7">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1.2</w:t>
            </w:r>
          </w:p>
        </w:tc>
        <w:tc>
          <w:tcPr>
            <w:tcW w:w="766" w:type="pct"/>
            <w:noWrap w:val="0"/>
            <w:vAlign w:val="center"/>
          </w:tcPr>
          <w:p w14:paraId="19116AB5">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1.0</w:t>
            </w:r>
          </w:p>
        </w:tc>
        <w:tc>
          <w:tcPr>
            <w:tcW w:w="742" w:type="pct"/>
            <w:noWrap w:val="0"/>
            <w:vAlign w:val="center"/>
          </w:tcPr>
          <w:p w14:paraId="7085081F">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0.8</w:t>
            </w:r>
          </w:p>
        </w:tc>
        <w:tc>
          <w:tcPr>
            <w:tcW w:w="1109" w:type="pct"/>
            <w:noWrap w:val="0"/>
            <w:vAlign w:val="center"/>
          </w:tcPr>
          <w:p w14:paraId="3D43B5D1">
            <w:pPr>
              <w:keepNext w:val="0"/>
              <w:keepLines w:val="0"/>
              <w:pageBreakBefore w:val="0"/>
              <w:wordWrap/>
              <w:overflowPunct/>
              <w:topLinePunct w:val="0"/>
              <w:bidi w:val="0"/>
              <w:spacing w:after="120" w:line="560" w:lineRule="exact"/>
              <w:jc w:val="center"/>
              <w:rPr>
                <w:rFonts w:hint="eastAsia" w:ascii="仿宋" w:hAnsi="仿宋" w:eastAsia="仿宋"/>
                <w:sz w:val="32"/>
                <w:szCs w:val="32"/>
                <w:highlight w:val="none"/>
              </w:rPr>
            </w:pPr>
            <w:r>
              <w:rPr>
                <w:rFonts w:ascii="仿宋" w:hAnsi="仿宋" w:eastAsia="仿宋"/>
                <w:sz w:val="32"/>
                <w:szCs w:val="32"/>
                <w:highlight w:val="none"/>
              </w:rPr>
              <w:t>0.6</w:t>
            </w:r>
          </w:p>
        </w:tc>
      </w:tr>
    </w:tbl>
    <w:p w14:paraId="7DF281D0">
      <w:pPr>
        <w:keepNext w:val="0"/>
        <w:keepLines w:val="0"/>
        <w:pageBreakBefore w:val="0"/>
        <w:wordWrap/>
        <w:overflowPunct/>
        <w:topLinePunct w:val="0"/>
        <w:bidi w:val="0"/>
        <w:adjustRightInd w:val="0"/>
        <w:snapToGrid w:val="0"/>
        <w:spacing w:after="120" w:line="560" w:lineRule="exact"/>
        <w:ind w:firstLine="560" w:firstLineChars="200"/>
        <w:rPr>
          <w:rFonts w:hint="eastAsia" w:ascii="仿宋" w:hAnsi="仿宋" w:eastAsia="仿宋"/>
          <w:kern w:val="0"/>
          <w:sz w:val="28"/>
          <w:szCs w:val="28"/>
          <w:highlight w:val="none"/>
        </w:rPr>
      </w:pPr>
      <w:r>
        <w:rPr>
          <w:rFonts w:hint="eastAsia" w:ascii="仿宋" w:hAnsi="仿宋" w:eastAsia="仿宋"/>
          <w:kern w:val="0"/>
          <w:sz w:val="28"/>
          <w:szCs w:val="28"/>
          <w:highlight w:val="none"/>
          <w:lang w:val="en-US" w:eastAsia="zh-CN"/>
        </w:rPr>
        <w:t>备注：</w:t>
      </w:r>
      <w:r>
        <w:rPr>
          <w:rFonts w:hint="eastAsia" w:ascii="仿宋" w:hAnsi="仿宋" w:eastAsia="仿宋"/>
          <w:kern w:val="0"/>
          <w:sz w:val="28"/>
          <w:szCs w:val="28"/>
          <w:highlight w:val="none"/>
        </w:rPr>
        <w:t>①比赛若设一、二、三等奖和优秀奖，计分对应值为：一等奖对应第1名的分值，二等奖对应第2名的分值，三等奖对应第3名的分值，优秀奖对应第4名及以后的分值；</w:t>
      </w:r>
    </w:p>
    <w:p w14:paraId="4E2E10F4">
      <w:pPr>
        <w:keepNext w:val="0"/>
        <w:keepLines w:val="0"/>
        <w:pageBreakBefore w:val="0"/>
        <w:wordWrap/>
        <w:overflowPunct/>
        <w:topLinePunct w:val="0"/>
        <w:bidi w:val="0"/>
        <w:adjustRightInd w:val="0"/>
        <w:snapToGrid w:val="0"/>
        <w:spacing w:after="120" w:line="560" w:lineRule="exact"/>
        <w:ind w:firstLine="560" w:firstLineChars="200"/>
        <w:rPr>
          <w:rFonts w:hint="eastAsia" w:ascii="仿宋" w:hAnsi="仿宋" w:eastAsia="仿宋"/>
          <w:kern w:val="0"/>
          <w:sz w:val="28"/>
          <w:szCs w:val="28"/>
          <w:highlight w:val="none"/>
        </w:rPr>
      </w:pPr>
      <w:r>
        <w:rPr>
          <w:rFonts w:hint="eastAsia" w:ascii="仿宋" w:hAnsi="仿宋" w:eastAsia="仿宋"/>
          <w:kern w:val="0"/>
          <w:sz w:val="28"/>
          <w:szCs w:val="28"/>
          <w:highlight w:val="none"/>
        </w:rPr>
        <w:t>②获校级精神文明奖、最具创意奖、最具人气奖等加1.0分，获院级精神文明奖、最具创意奖、最具人气奖等加0.5分。</w:t>
      </w:r>
    </w:p>
    <w:p w14:paraId="2D4F5059">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（2）参加各类</w:t>
      </w:r>
      <w:r>
        <w:rPr>
          <w:rFonts w:hint="eastAsia" w:ascii="仿宋" w:hAnsi="仿宋" w:eastAsia="仿宋"/>
          <w:kern w:val="0"/>
          <w:sz w:val="32"/>
          <w:szCs w:val="32"/>
          <w:highlight w:val="none"/>
          <w:lang w:val="en-US" w:eastAsia="zh-CN"/>
        </w:rPr>
        <w:t>文艺类</w:t>
      </w:r>
      <w:r>
        <w:rPr>
          <w:rFonts w:hint="eastAsia" w:ascii="仿宋" w:hAnsi="仿宋" w:eastAsia="仿宋"/>
          <w:kern w:val="0"/>
          <w:sz w:val="32"/>
          <w:szCs w:val="32"/>
          <w:highlight w:val="none"/>
        </w:rPr>
        <w:t>比赛但未能获奖者加0.4分。</w:t>
      </w:r>
    </w:p>
    <w:p w14:paraId="26B25A98">
      <w:pPr>
        <w:keepNext w:val="0"/>
        <w:keepLines w:val="0"/>
        <w:pageBreakBefore w:val="0"/>
        <w:wordWrap/>
        <w:overflowPunct/>
        <w:topLinePunct w:val="0"/>
        <w:bidi w:val="0"/>
        <w:adjustRightInd w:val="0"/>
        <w:snapToGrid w:val="0"/>
        <w:spacing w:after="120" w:line="560" w:lineRule="exact"/>
        <w:ind w:firstLine="640" w:firstLineChars="200"/>
        <w:rPr>
          <w:rFonts w:hint="default" w:ascii="仿宋" w:hAnsi="仿宋" w:eastAsia="仿宋"/>
          <w:kern w:val="0"/>
          <w:sz w:val="32"/>
          <w:szCs w:val="32"/>
          <w:highlight w:val="none"/>
          <w:lang w:val="en-US" w:eastAsia="zh-CN"/>
        </w:rPr>
      </w:pPr>
      <w:r>
        <w:rPr>
          <w:rFonts w:hint="eastAsia" w:ascii="仿宋" w:hAnsi="仿宋" w:eastAsia="仿宋"/>
          <w:kern w:val="0"/>
          <w:sz w:val="32"/>
          <w:szCs w:val="32"/>
          <w:highlight w:val="none"/>
        </w:rPr>
        <w:t>（</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rPr>
        <w:t>）学生文艺作品获得认证的，按照认证级别加分，国家级</w:t>
      </w:r>
      <w:r>
        <w:rPr>
          <w:rFonts w:hint="eastAsia" w:ascii="仿宋" w:hAnsi="仿宋" w:eastAsia="仿宋"/>
          <w:kern w:val="0"/>
          <w:sz w:val="32"/>
          <w:szCs w:val="32"/>
          <w:highlight w:val="none"/>
          <w:lang w:val="en-US" w:eastAsia="zh-CN"/>
        </w:rPr>
        <w:t>2</w:t>
      </w:r>
      <w:r>
        <w:rPr>
          <w:rFonts w:hint="eastAsia" w:ascii="仿宋" w:hAnsi="仿宋" w:eastAsia="仿宋"/>
          <w:kern w:val="0"/>
          <w:sz w:val="32"/>
          <w:szCs w:val="32"/>
          <w:highlight w:val="none"/>
        </w:rPr>
        <w:t>分/次，省级</w:t>
      </w:r>
      <w:r>
        <w:rPr>
          <w:rFonts w:hint="eastAsia" w:ascii="仿宋" w:hAnsi="仿宋" w:eastAsia="仿宋"/>
          <w:kern w:val="0"/>
          <w:sz w:val="32"/>
          <w:szCs w:val="32"/>
          <w:highlight w:val="none"/>
          <w:lang w:val="en-US" w:eastAsia="zh-CN"/>
        </w:rPr>
        <w:t>1</w:t>
      </w:r>
      <w:r>
        <w:rPr>
          <w:rFonts w:hint="eastAsia" w:ascii="仿宋" w:hAnsi="仿宋" w:eastAsia="仿宋"/>
          <w:kern w:val="0"/>
          <w:sz w:val="32"/>
          <w:szCs w:val="32"/>
          <w:highlight w:val="none"/>
        </w:rPr>
        <w:t>.5分/次</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lang w:val="en-US" w:eastAsia="zh-CN"/>
        </w:rPr>
        <w:t>校级1分/次，院级0.5分/次。</w:t>
      </w:r>
    </w:p>
    <w:p w14:paraId="282E1D1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bCs/>
          <w:color w:val="000000"/>
          <w:sz w:val="32"/>
          <w:szCs w:val="32"/>
          <w:highlight w:val="none"/>
        </w:rPr>
      </w:pPr>
      <w:r>
        <w:rPr>
          <w:rFonts w:hint="eastAsia" w:ascii="仿宋" w:hAnsi="仿宋" w:eastAsia="仿宋"/>
          <w:kern w:val="0"/>
          <w:sz w:val="32"/>
          <w:szCs w:val="32"/>
          <w:highlight w:val="none"/>
        </w:rPr>
        <w:t>注：该项总分不超过3分</w:t>
      </w:r>
    </w:p>
    <w:p w14:paraId="717D646D">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4.加分项（加分上限为1分，累计加分超过1分的以1分计）</w:t>
      </w:r>
    </w:p>
    <w:p w14:paraId="28A0610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学生选修《艺术导论》《音乐鉴赏》《美术鉴赏》《影视鉴赏》《戏剧鉴赏》《舞蹈鉴赏》《书法鉴赏》《戏曲鉴赏》《心理健康教育》等美育类选修课程，考核合格的，每门次加0.5分。</w:t>
      </w:r>
    </w:p>
    <w:bookmarkEnd w:id="4"/>
    <w:p w14:paraId="131ED82B">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（三）劳育（10分）</w:t>
      </w:r>
    </w:p>
    <w:p w14:paraId="46CD5089">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bookmarkStart w:id="5" w:name="_Hlk27401502"/>
      <w:r>
        <w:rPr>
          <w:rFonts w:hint="eastAsia" w:ascii="仿宋" w:hAnsi="仿宋" w:eastAsia="仿宋"/>
          <w:color w:val="000000"/>
          <w:sz w:val="32"/>
          <w:szCs w:val="32"/>
          <w:highlight w:val="none"/>
        </w:rPr>
        <w:t>劳育主要考察学生劳动观念情况、参加生产劳动情况、参与文明校园建设情况、从事志愿服务和公益服务情况和加分项五部分内容。（该项总分不超过10分，累计得分超过10分的按10分计）</w:t>
      </w:r>
    </w:p>
    <w:p w14:paraId="31700CEA">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color w:val="000000"/>
          <w:sz w:val="32"/>
          <w:szCs w:val="32"/>
          <w:highlight w:val="none"/>
        </w:rPr>
      </w:pPr>
      <w:r>
        <w:rPr>
          <w:rFonts w:hint="eastAsia" w:ascii="仿宋" w:hAnsi="仿宋" w:eastAsia="仿宋"/>
          <w:b w:val="0"/>
          <w:bCs w:val="0"/>
          <w:color w:val="000000"/>
          <w:sz w:val="32"/>
          <w:szCs w:val="32"/>
          <w:highlight w:val="none"/>
        </w:rPr>
        <w:t>1.劳动观念（2分）</w:t>
      </w:r>
    </w:p>
    <w:p w14:paraId="5D44EF15">
      <w:pPr>
        <w:keepNext w:val="0"/>
        <w:keepLines w:val="0"/>
        <w:pageBreakBefore w:val="0"/>
        <w:wordWrap/>
        <w:overflowPunct/>
        <w:topLinePunct w:val="0"/>
        <w:bidi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bCs/>
          <w:sz w:val="32"/>
          <w:szCs w:val="32"/>
          <w:highlight w:val="none"/>
        </w:rPr>
        <w:t>班级素测工作小组</w:t>
      </w:r>
      <w:r>
        <w:rPr>
          <w:rFonts w:hint="eastAsia" w:ascii="仿宋" w:hAnsi="仿宋" w:eastAsia="仿宋"/>
          <w:kern w:val="0"/>
          <w:sz w:val="32"/>
          <w:szCs w:val="32"/>
          <w:highlight w:val="none"/>
        </w:rPr>
        <w:t>在全面了解班级学生的基础上，根据学生日常生活表现进行综合评价赋分，评价标准如下：</w:t>
      </w:r>
    </w:p>
    <w:p w14:paraId="087D1542">
      <w:pPr>
        <w:keepNext w:val="0"/>
        <w:keepLines w:val="0"/>
        <w:pageBreakBefore w:val="0"/>
        <w:tabs>
          <w:tab w:val="left" w:pos="1276"/>
        </w:tabs>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（1）能够树立劳动最光荣、劳动最崇高、劳动最美丽的观念，在日常生活中弘扬劳模精神、劳动精神和工匠精神。（1分）</w:t>
      </w:r>
    </w:p>
    <w:p w14:paraId="5F925268">
      <w:pPr>
        <w:pStyle w:val="27"/>
        <w:keepNext w:val="0"/>
        <w:keepLines w:val="0"/>
        <w:pageBreakBefore w:val="0"/>
        <w:wordWrap/>
        <w:overflowPunct/>
        <w:topLinePunct w:val="0"/>
        <w:bidi w:val="0"/>
        <w:spacing w:after="120" w:line="560" w:lineRule="exact"/>
        <w:ind w:firstLine="640"/>
        <w:rPr>
          <w:rFonts w:hint="eastAsia" w:ascii="仿宋" w:hAnsi="仿宋" w:eastAsia="仿宋"/>
          <w:kern w:val="0"/>
          <w:sz w:val="32"/>
          <w:szCs w:val="32"/>
          <w:highlight w:val="none"/>
        </w:rPr>
      </w:pPr>
      <w:r>
        <w:rPr>
          <w:rFonts w:hint="eastAsia" w:ascii="仿宋" w:hAnsi="仿宋" w:eastAsia="仿宋"/>
          <w:color w:val="000000"/>
          <w:sz w:val="32"/>
          <w:szCs w:val="32"/>
          <w:highlight w:val="none"/>
        </w:rPr>
        <w:t>（2）热爱劳动、</w:t>
      </w:r>
      <w:r>
        <w:rPr>
          <w:rFonts w:hint="eastAsia" w:ascii="仿宋" w:hAnsi="仿宋" w:eastAsia="仿宋"/>
          <w:kern w:val="0"/>
          <w:sz w:val="32"/>
          <w:szCs w:val="32"/>
          <w:highlight w:val="none"/>
        </w:rPr>
        <w:t>自觉遵守宿舍规定，维护宿舍卫生。（1分）其中，</w:t>
      </w:r>
      <w:r>
        <w:rPr>
          <w:rFonts w:hint="eastAsia" w:ascii="仿宋" w:hAnsi="仿宋" w:eastAsia="仿宋" w:cs="宋体"/>
          <w:kern w:val="0"/>
          <w:sz w:val="32"/>
          <w:szCs w:val="32"/>
          <w:highlight w:val="none"/>
        </w:rPr>
        <w:t>晚归被查一次者扣0.5分，被查两次者扣1分，被查三次及以上者通报批评，无故夜不归宿一次扣1分</w:t>
      </w:r>
      <w:r>
        <w:rPr>
          <w:rFonts w:hint="eastAsia" w:ascii="仿宋" w:hAnsi="仿宋" w:eastAsia="仿宋"/>
          <w:kern w:val="0"/>
          <w:sz w:val="32"/>
          <w:szCs w:val="32"/>
          <w:highlight w:val="none"/>
        </w:rPr>
        <w:t>。在</w:t>
      </w:r>
      <w:r>
        <w:rPr>
          <w:rFonts w:hint="eastAsia" w:ascii="仿宋" w:hAnsi="仿宋" w:eastAsia="仿宋" w:cs="宋体"/>
          <w:kern w:val="0"/>
          <w:sz w:val="32"/>
          <w:szCs w:val="32"/>
          <w:highlight w:val="none"/>
        </w:rPr>
        <w:t>宿舍例检中当月两次80分以下宿舍成员扣0.5分，舍长扣1分，当月一次60分以下宿舍成员扣0.5分，舍长扣1分，被校生活部抽检为较差宿舍，宿舍全体成员扣1分</w:t>
      </w:r>
      <w:r>
        <w:rPr>
          <w:rFonts w:hint="eastAsia" w:ascii="仿宋" w:hAnsi="仿宋" w:eastAsia="仿宋"/>
          <w:kern w:val="0"/>
          <w:sz w:val="32"/>
          <w:szCs w:val="32"/>
          <w:highlight w:val="none"/>
        </w:rPr>
        <w:t>。</w:t>
      </w:r>
    </w:p>
    <w:p w14:paraId="46DFE9A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2.参加劳动教育情况（2分）</w:t>
      </w:r>
    </w:p>
    <w:p w14:paraId="5A107F6E">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（1）学年内，按时参加“三夏”生产劳动，得1分，按时参加教学生产实习实训，得1分。</w:t>
      </w:r>
    </w:p>
    <w:p w14:paraId="429415AC">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（2）积极参加学院、学校组织的劳动与耕读教育实践活动.参加校级劳动实践活动每人次1分，参加院级劳动实践活动每人次0.5分。</w:t>
      </w:r>
    </w:p>
    <w:p w14:paraId="123EC04F">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3.从事志愿服务和公益活动情况（4分）</w:t>
      </w:r>
    </w:p>
    <w:p w14:paraId="051BAE45">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（1）在校、院组织的各种比赛担任裁判的校级每人次得1分，院级每人次得0.5分；</w:t>
      </w:r>
    </w:p>
    <w:p w14:paraId="4D13B25F">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kern w:val="0"/>
          <w:sz w:val="32"/>
          <w:szCs w:val="32"/>
          <w:highlight w:val="none"/>
        </w:rPr>
        <w:t>（2）参加校运动会的仪仗队、彩旗队、拉拉队</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lang w:val="en-US" w:eastAsia="zh-CN"/>
        </w:rPr>
        <w:t>方阵</w:t>
      </w:r>
      <w:r>
        <w:rPr>
          <w:rFonts w:hint="eastAsia" w:ascii="仿宋" w:hAnsi="仿宋" w:eastAsia="仿宋"/>
          <w:kern w:val="0"/>
          <w:sz w:val="32"/>
          <w:szCs w:val="32"/>
          <w:highlight w:val="none"/>
        </w:rPr>
        <w:t>等，每人次得1分；</w:t>
      </w:r>
    </w:p>
    <w:p w14:paraId="36C0C4BD">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（3）参加田园使者、村主任助理等，每学期得1分，考核合格者再加0.5分，优秀者再加1分（考核结果不重复加分）；</w:t>
      </w:r>
    </w:p>
    <w:p w14:paraId="4B337823">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color w:val="000000"/>
          <w:kern w:val="0"/>
          <w:sz w:val="32"/>
          <w:szCs w:val="32"/>
          <w:highlight w:val="none"/>
        </w:rPr>
        <w:t>（4）参加农高会志愿服务、杨凌马拉松志愿服务、春蕾支教志愿服务、“雷锋月”系列活动</w:t>
      </w: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经</w:t>
      </w: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小苗志愿者</w:t>
      </w:r>
      <w:r>
        <w:rPr>
          <w:rFonts w:hint="eastAsia" w:ascii="仿宋" w:hAnsi="仿宋" w:eastAsia="仿宋"/>
          <w:color w:val="000000"/>
          <w:kern w:val="0"/>
          <w:sz w:val="32"/>
          <w:szCs w:val="32"/>
          <w:highlight w:val="none"/>
        </w:rPr>
        <w:t>等，每次得1分，以实践部记录或公示文件为准；</w:t>
      </w:r>
    </w:p>
    <w:p w14:paraId="20111360">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（5）在公益类社团担任负责人，得2分，参加公益类社团并考核合格加1分。</w:t>
      </w:r>
    </w:p>
    <w:p w14:paraId="4AD253B9">
      <w:pPr>
        <w:keepNext w:val="0"/>
        <w:keepLines w:val="0"/>
        <w:pageBreakBefore w:val="0"/>
        <w:wordWrap/>
        <w:overflowPunct/>
        <w:topLinePunct w:val="0"/>
        <w:bidi w:val="0"/>
        <w:spacing w:after="120"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6）本学年志愿时长达50小时及以上加1分。</w:t>
      </w:r>
    </w:p>
    <w:p w14:paraId="05F4AAD9">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该项加分不超过4分。</w:t>
      </w:r>
    </w:p>
    <w:p w14:paraId="40912B68">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color w:val="000000"/>
          <w:sz w:val="32"/>
          <w:szCs w:val="32"/>
          <w:highlight w:val="none"/>
        </w:rPr>
      </w:pPr>
      <w:r>
        <w:rPr>
          <w:rFonts w:hint="eastAsia" w:ascii="仿宋" w:hAnsi="仿宋" w:eastAsia="仿宋"/>
          <w:b w:val="0"/>
          <w:bCs w:val="0"/>
          <w:color w:val="000000"/>
          <w:sz w:val="32"/>
          <w:szCs w:val="32"/>
          <w:highlight w:val="none"/>
        </w:rPr>
        <w:t>4.参与文明校园建设情况（2分）</w:t>
      </w:r>
    </w:p>
    <w:p w14:paraId="773E1F99">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（1）自觉维护文明教室、文明宿舍、文明食堂、文明实验室、文明社区创建，得1分，由班级素测工作小组根据学生日常表现综合赋分；</w:t>
      </w:r>
    </w:p>
    <w:p w14:paraId="25B0C6B7">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（2）参与校园公共环境卫生清扫和绿化美化等，得1分，由班级素测工作小组根据学生日常表现综合赋分.</w:t>
      </w:r>
    </w:p>
    <w:p w14:paraId="01160081">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bCs/>
          <w:color w:val="000000"/>
          <w:sz w:val="32"/>
          <w:szCs w:val="32"/>
          <w:highlight w:val="none"/>
        </w:rPr>
      </w:pPr>
      <w:r>
        <w:rPr>
          <w:rFonts w:hint="eastAsia" w:ascii="仿宋" w:hAnsi="仿宋" w:eastAsia="仿宋"/>
          <w:b w:val="0"/>
          <w:bCs w:val="0"/>
          <w:color w:val="000000"/>
          <w:sz w:val="32"/>
          <w:szCs w:val="32"/>
          <w:highlight w:val="none"/>
        </w:rPr>
        <w:t>5.加分项（加分上限为1分，累计加分超过1分的以1分计）</w:t>
      </w:r>
    </w:p>
    <w:p w14:paraId="792660E6">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学生选修劳动教育类选修课程，考核合格的，每门次加0.5分。</w:t>
      </w:r>
    </w:p>
    <w:bookmarkEnd w:id="5"/>
    <w:p w14:paraId="4D360F54">
      <w:pPr>
        <w:pStyle w:val="3"/>
        <w:keepNext w:val="0"/>
        <w:keepLines w:val="0"/>
        <w:pageBreakBefore w:val="0"/>
        <w:wordWrap/>
        <w:overflowPunct/>
        <w:topLinePunct w:val="0"/>
        <w:bidi w:val="0"/>
        <w:spacing w:after="120" w:line="560" w:lineRule="exact"/>
        <w:ind w:left="0" w:leftChars="0" w:firstLine="640" w:firstLineChars="200"/>
        <w:outlineLvl w:val="1"/>
        <w:rPr>
          <w:rFonts w:hint="eastAsia" w:ascii="楷体" w:hAnsi="楷体" w:eastAsia="楷体" w:cs="楷体"/>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US" w:eastAsia="zh-CN" w:bidi="ar-SA"/>
        </w:rPr>
        <w:t>三、能力拓展（20分）</w:t>
      </w:r>
    </w:p>
    <w:p w14:paraId="21802AC9">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bookmarkStart w:id="6" w:name="_Hlk26909833"/>
      <w:bookmarkStart w:id="7" w:name="_Hlk27402529"/>
      <w:r>
        <w:rPr>
          <w:rFonts w:hint="eastAsia" w:ascii="仿宋" w:hAnsi="仿宋" w:eastAsia="仿宋"/>
          <w:color w:val="000000"/>
          <w:sz w:val="32"/>
          <w:szCs w:val="32"/>
          <w:highlight w:val="none"/>
        </w:rPr>
        <w:t>根据学生参与社会实践、科研实践和创新创业实践表现情况，学科竞赛、科技竞赛、创新创业竞赛和其他类似能力发展表现情况，以及学术成果、科技发明和其他类似能力发展表现情况等三个方面进行</w:t>
      </w:r>
      <w:bookmarkEnd w:id="6"/>
      <w:r>
        <w:rPr>
          <w:rFonts w:hint="eastAsia" w:ascii="仿宋" w:hAnsi="仿宋" w:eastAsia="仿宋"/>
          <w:color w:val="000000"/>
          <w:sz w:val="32"/>
          <w:szCs w:val="32"/>
          <w:highlight w:val="none"/>
        </w:rPr>
        <w:t>赋分，满分不超过20分。</w:t>
      </w:r>
    </w:p>
    <w:p w14:paraId="6CB35E14">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（一）社会实践、科研实践和创新创业实践表现情况（10分）</w:t>
      </w:r>
    </w:p>
    <w:p w14:paraId="7E31E02D">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1.参加寒暑假社会实践、暑期“三下乡”、“青年红色筑梦之旅”、“万名学子扶千村”等实践活动，队长加2.0分，队员加1.0分，考核优秀者额外加1分。</w:t>
      </w:r>
    </w:p>
    <w:p w14:paraId="4A5DF535">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2.参加大学生就业见习实习、扬帆计划等实践活动，在政府机关、企业单位等组织加2分(需要提供学生就业实习协议、学生个人实习报告、用人单位鉴定表等材料，教学实习不纳入范围）</w:t>
      </w:r>
    </w:p>
    <w:p w14:paraId="7C5FE8FC">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w:t>
      </w:r>
      <w:r>
        <w:rPr>
          <w:rFonts w:hint="eastAsia" w:ascii="仿宋" w:hAnsi="仿宋" w:eastAsia="仿宋"/>
          <w:kern w:val="0"/>
          <w:sz w:val="32"/>
          <w:szCs w:val="32"/>
          <w:highlight w:val="none"/>
        </w:rPr>
        <w:t>参加各类科研项目，立项后国家级项目负责人加10分，组员加7分，省级项目负责人加8分，组员加5分，校级项目负责人加6分，组员加3分。</w:t>
      </w:r>
    </w:p>
    <w:p w14:paraId="3F1813F0">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sz w:val="32"/>
          <w:szCs w:val="32"/>
          <w:highlight w:val="none"/>
        </w:rPr>
        <w:t>4.</w:t>
      </w:r>
      <w:r>
        <w:rPr>
          <w:rFonts w:hint="eastAsia" w:ascii="仿宋" w:hAnsi="仿宋" w:eastAsia="仿宋"/>
          <w:kern w:val="0"/>
          <w:sz w:val="32"/>
          <w:szCs w:val="32"/>
          <w:highlight w:val="none"/>
        </w:rPr>
        <w:t>参加校院组织的各类科研活动（如：报告会、科技成果展、学术论坛等）校级每场加1分，院级每场加0.5分，以科创部统计为准，上限4分。</w:t>
      </w:r>
    </w:p>
    <w:p w14:paraId="4D2AA7B0">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rPr>
        <w:t>5.</w:t>
      </w:r>
      <w:r>
        <w:rPr>
          <w:rFonts w:hint="eastAsia" w:ascii="仿宋" w:hAnsi="仿宋" w:eastAsia="仿宋"/>
          <w:kern w:val="0"/>
          <w:sz w:val="32"/>
          <w:szCs w:val="32"/>
          <w:highlight w:val="none"/>
        </w:rPr>
        <w:t>参加大学生创新创业训练计划者，项目中期答辩后国家级项目负责人加5分，组员加3分；省级项目负责人加4分，组员加2分；校级项目负责人加3分，组员加1分。项目顺利结题情况优秀、良好、合格、不合格分别加2分、1.5分、1分，扣1分；若项目中途停止项目组成员每人扣</w:t>
      </w:r>
      <w:r>
        <w:rPr>
          <w:rFonts w:hint="eastAsia" w:ascii="仿宋" w:hAnsi="仿宋" w:eastAsia="仿宋"/>
          <w:kern w:val="0"/>
          <w:sz w:val="32"/>
          <w:szCs w:val="32"/>
          <w:highlight w:val="none"/>
          <w:lang w:val="en-US" w:eastAsia="zh-CN"/>
        </w:rPr>
        <w:t>除本项目之前所加分数</w:t>
      </w:r>
      <w:r>
        <w:rPr>
          <w:rFonts w:hint="eastAsia" w:ascii="仿宋" w:hAnsi="仿宋" w:eastAsia="仿宋"/>
          <w:sz w:val="32"/>
          <w:szCs w:val="32"/>
          <w:highlight w:val="none"/>
        </w:rPr>
        <w:t>。</w:t>
      </w:r>
    </w:p>
    <w:p w14:paraId="429A00BA">
      <w:pPr>
        <w:keepNext w:val="0"/>
        <w:keepLines w:val="0"/>
        <w:pageBreakBefore w:val="0"/>
        <w:wordWrap/>
        <w:overflowPunct/>
        <w:topLinePunct w:val="0"/>
        <w:bidi w:val="0"/>
        <w:spacing w:after="120"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6.参加经学院（系）认定的其他社会实践、科研实践和创新创业实践活动。（校级1分/次，院级0.5分/次）</w:t>
      </w:r>
    </w:p>
    <w:p w14:paraId="19AEA8EA">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以上同一项目加分就高原则,不重复加分，得分不超过10分。</w:t>
      </w:r>
    </w:p>
    <w:p w14:paraId="519B3F02">
      <w:pPr>
        <w:pStyle w:val="3"/>
        <w:keepNext w:val="0"/>
        <w:keepLines w:val="0"/>
        <w:pageBreakBefore w:val="0"/>
        <w:wordWrap/>
        <w:overflowPunct/>
        <w:topLinePunct w:val="0"/>
        <w:bidi w:val="0"/>
        <w:spacing w:after="120" w:line="560" w:lineRule="exact"/>
        <w:ind w:left="0" w:leftChars="0" w:firstLine="640" w:firstLineChars="200"/>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（二）学科竞赛、科技竞赛、创新创业竞赛和其他类似能力发展表现情况（5分）</w:t>
      </w:r>
    </w:p>
    <w:bookmarkEnd w:id="7"/>
    <w:p w14:paraId="3EE0C8BF">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1.参加上级组织、学校及有关部门举办的学科专业技能竞赛、科技竞赛创新创业竞赛（省级以上竞赛项目以教务处承认的竞赛名目为准），如大学生数学建模竞赛、全国大学生市场调查与分析大赛等竞赛获得表彰的，计分见下表（同一项目只加最高分）：</w:t>
      </w:r>
    </w:p>
    <w:tbl>
      <w:tblPr>
        <w:tblStyle w:val="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6"/>
        <w:gridCol w:w="1996"/>
        <w:gridCol w:w="2137"/>
        <w:gridCol w:w="2096"/>
      </w:tblGrid>
      <w:tr w14:paraId="6C35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1434" w:type="pct"/>
            <w:noWrap w:val="0"/>
            <w:vAlign w:val="center"/>
          </w:tcPr>
          <w:p w14:paraId="31368748">
            <w:pPr>
              <w:keepNext w:val="0"/>
              <w:keepLines w:val="0"/>
              <w:pageBreakBefore w:val="0"/>
              <w:wordWrap/>
              <w:overflowPunct/>
              <w:topLinePunct w:val="0"/>
              <w:bidi w:val="0"/>
              <w:adjustRightInd w:val="0"/>
              <w:snapToGrid w:val="0"/>
              <w:spacing w:after="120" w:line="560" w:lineRule="exact"/>
              <w:ind w:firstLine="420"/>
              <w:jc w:val="center"/>
              <w:rPr>
                <w:rFonts w:hint="eastAsia" w:ascii="仿宋" w:hAnsi="仿宋" w:eastAsia="仿宋"/>
                <w:sz w:val="32"/>
                <w:szCs w:val="32"/>
                <w:highlight w:val="none"/>
              </w:rPr>
            </w:pPr>
            <w:r>
              <w:rPr>
                <w:rFonts w:ascii="仿宋" w:hAnsi="仿宋" w:eastAsia="仿宋"/>
                <w:position w:val="-28"/>
                <w:sz w:val="32"/>
                <w:szCs w:val="32"/>
                <w:highlight w:val="none"/>
              </w:rPr>
              <w:drawing>
                <wp:anchor distT="0" distB="0" distL="114300" distR="114300" simplePos="0" relativeHeight="251660288" behindDoc="1" locked="0" layoutInCell="1" allowOverlap="1">
                  <wp:simplePos x="0" y="0"/>
                  <wp:positionH relativeFrom="column">
                    <wp:posOffset>3810</wp:posOffset>
                  </wp:positionH>
                  <wp:positionV relativeFrom="paragraph">
                    <wp:posOffset>-635</wp:posOffset>
                  </wp:positionV>
                  <wp:extent cx="1551305" cy="904875"/>
                  <wp:effectExtent l="0" t="0" r="10795" b="9525"/>
                  <wp:wrapNone/>
                  <wp:docPr id="2" name="IM 14"/>
                  <wp:cNvGraphicFramePr/>
                  <a:graphic xmlns:a="http://schemas.openxmlformats.org/drawingml/2006/main">
                    <a:graphicData uri="http://schemas.openxmlformats.org/drawingml/2006/picture">
                      <pic:pic xmlns:pic="http://schemas.openxmlformats.org/drawingml/2006/picture">
                        <pic:nvPicPr>
                          <pic:cNvPr id="2" name="IM 14"/>
                          <pic:cNvPicPr/>
                        </pic:nvPicPr>
                        <pic:blipFill>
                          <a:blip r:embed="rId8"/>
                          <a:stretch>
                            <a:fillRect/>
                          </a:stretch>
                        </pic:blipFill>
                        <pic:spPr>
                          <a:xfrm>
                            <a:off x="0" y="0"/>
                            <a:ext cx="1551305" cy="904875"/>
                          </a:xfrm>
                          <a:prstGeom prst="rect">
                            <a:avLst/>
                          </a:prstGeom>
                          <a:noFill/>
                          <a:ln>
                            <a:noFill/>
                          </a:ln>
                        </pic:spPr>
                      </pic:pic>
                    </a:graphicData>
                  </a:graphic>
                </wp:anchor>
              </w:drawing>
            </w:r>
          </w:p>
        </w:tc>
        <w:tc>
          <w:tcPr>
            <w:tcW w:w="1142" w:type="pct"/>
            <w:noWrap w:val="0"/>
            <w:vAlign w:val="center"/>
          </w:tcPr>
          <w:p w14:paraId="0634E99B">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第一名</w:t>
            </w:r>
          </w:p>
        </w:tc>
        <w:tc>
          <w:tcPr>
            <w:tcW w:w="1223" w:type="pct"/>
            <w:noWrap w:val="0"/>
            <w:vAlign w:val="center"/>
          </w:tcPr>
          <w:p w14:paraId="14E11930">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第二名</w:t>
            </w:r>
          </w:p>
        </w:tc>
        <w:tc>
          <w:tcPr>
            <w:tcW w:w="1199" w:type="pct"/>
            <w:noWrap w:val="0"/>
            <w:vAlign w:val="center"/>
          </w:tcPr>
          <w:p w14:paraId="6AAF847F">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第三名</w:t>
            </w:r>
          </w:p>
        </w:tc>
      </w:tr>
      <w:tr w14:paraId="0D09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34" w:type="pct"/>
            <w:noWrap w:val="0"/>
            <w:vAlign w:val="center"/>
          </w:tcPr>
          <w:p w14:paraId="573F1D06">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ascii="仿宋" w:hAnsi="仿宋" w:eastAsia="仿宋" w:cs="仿宋"/>
                <w:spacing w:val="-25"/>
                <w:sz w:val="32"/>
                <w:szCs w:val="32"/>
                <w:highlight w:val="none"/>
              </w:rPr>
              <w:t>国家级</w:t>
            </w:r>
          </w:p>
        </w:tc>
        <w:tc>
          <w:tcPr>
            <w:tcW w:w="1142" w:type="pct"/>
            <w:noWrap w:val="0"/>
            <w:vAlign w:val="center"/>
          </w:tcPr>
          <w:p w14:paraId="10584D3A">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3"/>
                <w:sz w:val="32"/>
                <w:szCs w:val="32"/>
                <w:highlight w:val="none"/>
              </w:rPr>
              <w:t>5.0</w:t>
            </w:r>
            <w:r>
              <w:rPr>
                <w:rFonts w:ascii="仿宋" w:hAnsi="仿宋" w:eastAsia="仿宋" w:cs="宋体"/>
                <w:spacing w:val="-3"/>
                <w:sz w:val="32"/>
                <w:szCs w:val="32"/>
                <w:highlight w:val="none"/>
              </w:rPr>
              <w:t>（</w:t>
            </w:r>
            <w:r>
              <w:rPr>
                <w:rFonts w:ascii="仿宋" w:hAnsi="仿宋" w:eastAsia="仿宋"/>
                <w:spacing w:val="-3"/>
                <w:sz w:val="32"/>
                <w:szCs w:val="32"/>
                <w:highlight w:val="none"/>
              </w:rPr>
              <w:t>4.7</w:t>
            </w:r>
            <w:r>
              <w:rPr>
                <w:rFonts w:ascii="仿宋" w:hAnsi="仿宋" w:eastAsia="仿宋" w:cs="宋体"/>
                <w:spacing w:val="-3"/>
                <w:sz w:val="32"/>
                <w:szCs w:val="32"/>
                <w:highlight w:val="none"/>
              </w:rPr>
              <w:t>）</w:t>
            </w:r>
          </w:p>
        </w:tc>
        <w:tc>
          <w:tcPr>
            <w:tcW w:w="1223" w:type="pct"/>
            <w:noWrap w:val="0"/>
            <w:vAlign w:val="center"/>
          </w:tcPr>
          <w:p w14:paraId="05349C47">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z w:val="32"/>
                <w:szCs w:val="32"/>
                <w:highlight w:val="none"/>
              </w:rPr>
              <w:t>4.7</w:t>
            </w:r>
            <w:r>
              <w:rPr>
                <w:rFonts w:ascii="仿宋" w:hAnsi="仿宋" w:eastAsia="仿宋" w:cs="宋体"/>
                <w:sz w:val="32"/>
                <w:szCs w:val="32"/>
                <w:highlight w:val="none"/>
              </w:rPr>
              <w:t>（</w:t>
            </w:r>
            <w:r>
              <w:rPr>
                <w:rFonts w:ascii="仿宋" w:hAnsi="仿宋" w:eastAsia="仿宋"/>
                <w:sz w:val="32"/>
                <w:szCs w:val="32"/>
                <w:highlight w:val="none"/>
              </w:rPr>
              <w:t>4.4</w:t>
            </w:r>
            <w:r>
              <w:rPr>
                <w:rFonts w:ascii="仿宋" w:hAnsi="仿宋" w:eastAsia="仿宋" w:cs="宋体"/>
                <w:sz w:val="32"/>
                <w:szCs w:val="32"/>
                <w:highlight w:val="none"/>
              </w:rPr>
              <w:t>）</w:t>
            </w:r>
          </w:p>
        </w:tc>
        <w:tc>
          <w:tcPr>
            <w:tcW w:w="1199" w:type="pct"/>
            <w:noWrap w:val="0"/>
            <w:vAlign w:val="center"/>
          </w:tcPr>
          <w:p w14:paraId="231BBC12">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5"/>
                <w:sz w:val="32"/>
                <w:szCs w:val="32"/>
                <w:highlight w:val="none"/>
              </w:rPr>
              <w:t>4.4</w:t>
            </w:r>
            <w:r>
              <w:rPr>
                <w:rFonts w:ascii="仿宋" w:hAnsi="仿宋" w:eastAsia="仿宋" w:cs="宋体"/>
                <w:spacing w:val="-5"/>
                <w:sz w:val="32"/>
                <w:szCs w:val="32"/>
                <w:highlight w:val="none"/>
              </w:rPr>
              <w:t>（</w:t>
            </w:r>
            <w:r>
              <w:rPr>
                <w:rFonts w:ascii="仿宋" w:hAnsi="仿宋" w:eastAsia="仿宋"/>
                <w:spacing w:val="-5"/>
                <w:sz w:val="32"/>
                <w:szCs w:val="32"/>
                <w:highlight w:val="none"/>
              </w:rPr>
              <w:t>4.1</w:t>
            </w:r>
            <w:r>
              <w:rPr>
                <w:rFonts w:ascii="仿宋" w:hAnsi="仿宋" w:eastAsia="仿宋" w:cs="宋体"/>
                <w:spacing w:val="-5"/>
                <w:sz w:val="32"/>
                <w:szCs w:val="32"/>
                <w:highlight w:val="none"/>
              </w:rPr>
              <w:t>）</w:t>
            </w:r>
          </w:p>
        </w:tc>
      </w:tr>
      <w:tr w14:paraId="6D7D5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434" w:type="pct"/>
            <w:noWrap w:val="0"/>
            <w:vAlign w:val="center"/>
          </w:tcPr>
          <w:p w14:paraId="719DADB2">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ascii="仿宋" w:hAnsi="仿宋" w:eastAsia="仿宋" w:cs="仿宋"/>
                <w:spacing w:val="-11"/>
                <w:sz w:val="32"/>
                <w:szCs w:val="32"/>
                <w:highlight w:val="none"/>
              </w:rPr>
              <w:t>省部级</w:t>
            </w:r>
          </w:p>
        </w:tc>
        <w:tc>
          <w:tcPr>
            <w:tcW w:w="1142" w:type="pct"/>
            <w:noWrap w:val="0"/>
            <w:vAlign w:val="center"/>
          </w:tcPr>
          <w:p w14:paraId="0BF59E13">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5"/>
                <w:sz w:val="32"/>
                <w:szCs w:val="32"/>
                <w:highlight w:val="none"/>
              </w:rPr>
              <w:t>4.1</w:t>
            </w:r>
            <w:r>
              <w:rPr>
                <w:rFonts w:ascii="仿宋" w:hAnsi="仿宋" w:eastAsia="仿宋" w:cs="宋体"/>
                <w:spacing w:val="-5"/>
                <w:sz w:val="32"/>
                <w:szCs w:val="32"/>
                <w:highlight w:val="none"/>
              </w:rPr>
              <w:t>（</w:t>
            </w:r>
            <w:r>
              <w:rPr>
                <w:rFonts w:ascii="仿宋" w:hAnsi="仿宋" w:eastAsia="仿宋"/>
                <w:spacing w:val="-5"/>
                <w:sz w:val="32"/>
                <w:szCs w:val="32"/>
                <w:highlight w:val="none"/>
              </w:rPr>
              <w:t>3.8</w:t>
            </w:r>
            <w:r>
              <w:rPr>
                <w:rFonts w:ascii="仿宋" w:hAnsi="仿宋" w:eastAsia="仿宋" w:cs="宋体"/>
                <w:spacing w:val="-5"/>
                <w:sz w:val="32"/>
                <w:szCs w:val="32"/>
                <w:highlight w:val="none"/>
              </w:rPr>
              <w:t>）</w:t>
            </w:r>
          </w:p>
        </w:tc>
        <w:tc>
          <w:tcPr>
            <w:tcW w:w="1223" w:type="pct"/>
            <w:noWrap w:val="0"/>
            <w:vAlign w:val="center"/>
          </w:tcPr>
          <w:p w14:paraId="71F47CD1">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2"/>
                <w:sz w:val="32"/>
                <w:szCs w:val="32"/>
                <w:highlight w:val="none"/>
              </w:rPr>
              <w:t>3.8</w:t>
            </w:r>
            <w:r>
              <w:rPr>
                <w:rFonts w:ascii="仿宋" w:hAnsi="仿宋" w:eastAsia="仿宋" w:cs="宋体"/>
                <w:spacing w:val="-2"/>
                <w:sz w:val="32"/>
                <w:szCs w:val="32"/>
                <w:highlight w:val="none"/>
              </w:rPr>
              <w:t>（</w:t>
            </w:r>
            <w:r>
              <w:rPr>
                <w:rFonts w:ascii="仿宋" w:hAnsi="仿宋" w:eastAsia="仿宋"/>
                <w:spacing w:val="-2"/>
                <w:sz w:val="32"/>
                <w:szCs w:val="32"/>
                <w:highlight w:val="none"/>
              </w:rPr>
              <w:t>3.5</w:t>
            </w:r>
            <w:r>
              <w:rPr>
                <w:rFonts w:ascii="仿宋" w:hAnsi="仿宋" w:eastAsia="仿宋" w:cs="宋体"/>
                <w:spacing w:val="-2"/>
                <w:sz w:val="32"/>
                <w:szCs w:val="32"/>
                <w:highlight w:val="none"/>
              </w:rPr>
              <w:t>）</w:t>
            </w:r>
          </w:p>
        </w:tc>
        <w:tc>
          <w:tcPr>
            <w:tcW w:w="1199" w:type="pct"/>
            <w:noWrap w:val="0"/>
            <w:vAlign w:val="center"/>
          </w:tcPr>
          <w:p w14:paraId="32CF1B2E">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2"/>
                <w:sz w:val="32"/>
                <w:szCs w:val="32"/>
                <w:highlight w:val="none"/>
              </w:rPr>
              <w:t>3.5</w:t>
            </w:r>
            <w:r>
              <w:rPr>
                <w:rFonts w:ascii="仿宋" w:hAnsi="仿宋" w:eastAsia="仿宋" w:cs="宋体"/>
                <w:spacing w:val="-2"/>
                <w:sz w:val="32"/>
                <w:szCs w:val="32"/>
                <w:highlight w:val="none"/>
              </w:rPr>
              <w:t>（</w:t>
            </w:r>
            <w:r>
              <w:rPr>
                <w:rFonts w:ascii="仿宋" w:hAnsi="仿宋" w:eastAsia="仿宋"/>
                <w:spacing w:val="-2"/>
                <w:sz w:val="32"/>
                <w:szCs w:val="32"/>
                <w:highlight w:val="none"/>
              </w:rPr>
              <w:t>3.2</w:t>
            </w:r>
            <w:r>
              <w:rPr>
                <w:rFonts w:ascii="仿宋" w:hAnsi="仿宋" w:eastAsia="仿宋" w:cs="宋体"/>
                <w:spacing w:val="-2"/>
                <w:sz w:val="32"/>
                <w:szCs w:val="32"/>
                <w:highlight w:val="none"/>
              </w:rPr>
              <w:t>）</w:t>
            </w:r>
          </w:p>
        </w:tc>
      </w:tr>
      <w:tr w14:paraId="69AC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34" w:type="pct"/>
            <w:noWrap w:val="0"/>
            <w:vAlign w:val="center"/>
          </w:tcPr>
          <w:p w14:paraId="22C50541">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ascii="仿宋" w:hAnsi="仿宋" w:eastAsia="仿宋" w:cs="仿宋"/>
                <w:spacing w:val="-9"/>
                <w:sz w:val="32"/>
                <w:szCs w:val="32"/>
                <w:highlight w:val="none"/>
              </w:rPr>
              <w:t>校级</w:t>
            </w:r>
          </w:p>
        </w:tc>
        <w:tc>
          <w:tcPr>
            <w:tcW w:w="1142" w:type="pct"/>
            <w:noWrap w:val="0"/>
            <w:vAlign w:val="center"/>
          </w:tcPr>
          <w:p w14:paraId="2C77BC66">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2"/>
                <w:sz w:val="32"/>
                <w:szCs w:val="32"/>
                <w:highlight w:val="none"/>
              </w:rPr>
              <w:t>3.2</w:t>
            </w:r>
            <w:r>
              <w:rPr>
                <w:rFonts w:ascii="仿宋" w:hAnsi="仿宋" w:eastAsia="仿宋" w:cs="宋体"/>
                <w:spacing w:val="-2"/>
                <w:sz w:val="32"/>
                <w:szCs w:val="32"/>
                <w:highlight w:val="none"/>
              </w:rPr>
              <w:t>（</w:t>
            </w:r>
            <w:r>
              <w:rPr>
                <w:rFonts w:ascii="仿宋" w:hAnsi="仿宋" w:eastAsia="仿宋"/>
                <w:spacing w:val="-2"/>
                <w:sz w:val="32"/>
                <w:szCs w:val="32"/>
                <w:highlight w:val="none"/>
              </w:rPr>
              <w:t>2.9</w:t>
            </w:r>
            <w:r>
              <w:rPr>
                <w:rFonts w:ascii="仿宋" w:hAnsi="仿宋" w:eastAsia="仿宋" w:cs="宋体"/>
                <w:spacing w:val="-2"/>
                <w:sz w:val="32"/>
                <w:szCs w:val="32"/>
                <w:highlight w:val="none"/>
              </w:rPr>
              <w:t>）</w:t>
            </w:r>
          </w:p>
        </w:tc>
        <w:tc>
          <w:tcPr>
            <w:tcW w:w="1223" w:type="pct"/>
            <w:noWrap w:val="0"/>
            <w:vAlign w:val="center"/>
          </w:tcPr>
          <w:p w14:paraId="4FF8F1FF">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1"/>
                <w:sz w:val="32"/>
                <w:szCs w:val="32"/>
                <w:highlight w:val="none"/>
              </w:rPr>
              <w:t>2.9</w:t>
            </w:r>
            <w:r>
              <w:rPr>
                <w:rFonts w:ascii="仿宋" w:hAnsi="仿宋" w:eastAsia="仿宋" w:cs="宋体"/>
                <w:spacing w:val="-1"/>
                <w:sz w:val="32"/>
                <w:szCs w:val="32"/>
                <w:highlight w:val="none"/>
              </w:rPr>
              <w:t>（</w:t>
            </w:r>
            <w:r>
              <w:rPr>
                <w:rFonts w:ascii="仿宋" w:hAnsi="仿宋" w:eastAsia="仿宋"/>
                <w:spacing w:val="-1"/>
                <w:sz w:val="32"/>
                <w:szCs w:val="32"/>
                <w:highlight w:val="none"/>
              </w:rPr>
              <w:t>2.6</w:t>
            </w:r>
            <w:r>
              <w:rPr>
                <w:rFonts w:ascii="仿宋" w:hAnsi="仿宋" w:eastAsia="仿宋" w:cs="宋体"/>
                <w:spacing w:val="-1"/>
                <w:sz w:val="32"/>
                <w:szCs w:val="32"/>
                <w:highlight w:val="none"/>
              </w:rPr>
              <w:t>）</w:t>
            </w:r>
          </w:p>
        </w:tc>
        <w:tc>
          <w:tcPr>
            <w:tcW w:w="1199" w:type="pct"/>
            <w:noWrap w:val="0"/>
            <w:vAlign w:val="center"/>
          </w:tcPr>
          <w:p w14:paraId="31749E7E">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1"/>
                <w:sz w:val="32"/>
                <w:szCs w:val="32"/>
                <w:highlight w:val="none"/>
              </w:rPr>
              <w:t>2.6</w:t>
            </w:r>
            <w:r>
              <w:rPr>
                <w:rFonts w:ascii="仿宋" w:hAnsi="仿宋" w:eastAsia="仿宋" w:cs="宋体"/>
                <w:spacing w:val="-1"/>
                <w:sz w:val="32"/>
                <w:szCs w:val="32"/>
                <w:highlight w:val="none"/>
              </w:rPr>
              <w:t>（</w:t>
            </w:r>
            <w:r>
              <w:rPr>
                <w:rFonts w:ascii="仿宋" w:hAnsi="仿宋" w:eastAsia="仿宋"/>
                <w:spacing w:val="-1"/>
                <w:sz w:val="32"/>
                <w:szCs w:val="32"/>
                <w:highlight w:val="none"/>
              </w:rPr>
              <w:t>2.3</w:t>
            </w:r>
            <w:r>
              <w:rPr>
                <w:rFonts w:ascii="仿宋" w:hAnsi="仿宋" w:eastAsia="仿宋" w:cs="宋体"/>
                <w:spacing w:val="-1"/>
                <w:sz w:val="32"/>
                <w:szCs w:val="32"/>
                <w:highlight w:val="none"/>
              </w:rPr>
              <w:t>）</w:t>
            </w:r>
          </w:p>
        </w:tc>
      </w:tr>
      <w:tr w14:paraId="3A81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434" w:type="pct"/>
            <w:noWrap w:val="0"/>
            <w:vAlign w:val="center"/>
          </w:tcPr>
          <w:p w14:paraId="6110F4F5">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仿宋"/>
                <w:sz w:val="32"/>
                <w:szCs w:val="32"/>
                <w:highlight w:val="none"/>
              </w:rPr>
            </w:pPr>
            <w:r>
              <w:rPr>
                <w:rFonts w:ascii="仿宋" w:hAnsi="仿宋" w:eastAsia="仿宋" w:cs="仿宋"/>
                <w:spacing w:val="-18"/>
                <w:sz w:val="32"/>
                <w:szCs w:val="32"/>
                <w:highlight w:val="none"/>
              </w:rPr>
              <w:t>院级</w:t>
            </w:r>
          </w:p>
        </w:tc>
        <w:tc>
          <w:tcPr>
            <w:tcW w:w="1142" w:type="pct"/>
            <w:noWrap w:val="0"/>
            <w:vAlign w:val="center"/>
          </w:tcPr>
          <w:p w14:paraId="02781BE5">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1"/>
                <w:sz w:val="32"/>
                <w:szCs w:val="32"/>
                <w:highlight w:val="none"/>
              </w:rPr>
              <w:t>2.3</w:t>
            </w:r>
            <w:r>
              <w:rPr>
                <w:rFonts w:ascii="仿宋" w:hAnsi="仿宋" w:eastAsia="仿宋" w:cs="宋体"/>
                <w:spacing w:val="-1"/>
                <w:sz w:val="32"/>
                <w:szCs w:val="32"/>
                <w:highlight w:val="none"/>
              </w:rPr>
              <w:t>（</w:t>
            </w:r>
            <w:r>
              <w:rPr>
                <w:rFonts w:ascii="仿宋" w:hAnsi="仿宋" w:eastAsia="仿宋"/>
                <w:spacing w:val="-1"/>
                <w:sz w:val="32"/>
                <w:szCs w:val="32"/>
                <w:highlight w:val="none"/>
              </w:rPr>
              <w:t>2.0</w:t>
            </w:r>
            <w:r>
              <w:rPr>
                <w:rFonts w:ascii="仿宋" w:hAnsi="仿宋" w:eastAsia="仿宋" w:cs="宋体"/>
                <w:spacing w:val="-1"/>
                <w:sz w:val="32"/>
                <w:szCs w:val="32"/>
                <w:highlight w:val="none"/>
              </w:rPr>
              <w:t>）</w:t>
            </w:r>
          </w:p>
        </w:tc>
        <w:tc>
          <w:tcPr>
            <w:tcW w:w="1223" w:type="pct"/>
            <w:noWrap w:val="0"/>
            <w:vAlign w:val="center"/>
          </w:tcPr>
          <w:p w14:paraId="6B54F512">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1"/>
                <w:sz w:val="32"/>
                <w:szCs w:val="32"/>
                <w:highlight w:val="none"/>
              </w:rPr>
              <w:t>2.0</w:t>
            </w:r>
            <w:r>
              <w:rPr>
                <w:rFonts w:ascii="仿宋" w:hAnsi="仿宋" w:eastAsia="仿宋" w:cs="宋体"/>
                <w:spacing w:val="-1"/>
                <w:sz w:val="32"/>
                <w:szCs w:val="32"/>
                <w:highlight w:val="none"/>
              </w:rPr>
              <w:t>（</w:t>
            </w:r>
            <w:r>
              <w:rPr>
                <w:rFonts w:ascii="仿宋" w:hAnsi="仿宋" w:eastAsia="仿宋"/>
                <w:spacing w:val="-1"/>
                <w:sz w:val="32"/>
                <w:szCs w:val="32"/>
                <w:highlight w:val="none"/>
              </w:rPr>
              <w:t>1.7</w:t>
            </w:r>
            <w:r>
              <w:rPr>
                <w:rFonts w:ascii="仿宋" w:hAnsi="仿宋" w:eastAsia="仿宋" w:cs="宋体"/>
                <w:spacing w:val="-1"/>
                <w:sz w:val="32"/>
                <w:szCs w:val="32"/>
                <w:highlight w:val="none"/>
              </w:rPr>
              <w:t>）</w:t>
            </w:r>
          </w:p>
        </w:tc>
        <w:tc>
          <w:tcPr>
            <w:tcW w:w="1199" w:type="pct"/>
            <w:noWrap w:val="0"/>
            <w:vAlign w:val="center"/>
          </w:tcPr>
          <w:p w14:paraId="69964BEB">
            <w:pPr>
              <w:keepNext w:val="0"/>
              <w:keepLines w:val="0"/>
              <w:pageBreakBefore w:val="0"/>
              <w:wordWrap/>
              <w:overflowPunct/>
              <w:topLinePunct w:val="0"/>
              <w:bidi w:val="0"/>
              <w:adjustRightInd w:val="0"/>
              <w:snapToGrid w:val="0"/>
              <w:spacing w:after="120" w:line="560" w:lineRule="exact"/>
              <w:jc w:val="center"/>
              <w:rPr>
                <w:rFonts w:hint="eastAsia" w:ascii="仿宋" w:hAnsi="仿宋" w:eastAsia="仿宋" w:cs="宋体"/>
                <w:sz w:val="32"/>
                <w:szCs w:val="32"/>
                <w:highlight w:val="none"/>
              </w:rPr>
            </w:pPr>
            <w:r>
              <w:rPr>
                <w:rFonts w:ascii="仿宋" w:hAnsi="仿宋" w:eastAsia="仿宋"/>
                <w:spacing w:val="-4"/>
                <w:sz w:val="32"/>
                <w:szCs w:val="32"/>
                <w:highlight w:val="none"/>
              </w:rPr>
              <w:t>1.7</w:t>
            </w:r>
            <w:r>
              <w:rPr>
                <w:rFonts w:ascii="仿宋" w:hAnsi="仿宋" w:eastAsia="仿宋" w:cs="宋体"/>
                <w:spacing w:val="-4"/>
                <w:sz w:val="32"/>
                <w:szCs w:val="32"/>
                <w:highlight w:val="none"/>
              </w:rPr>
              <w:t>（</w:t>
            </w:r>
            <w:r>
              <w:rPr>
                <w:rFonts w:ascii="仿宋" w:hAnsi="仿宋" w:eastAsia="仿宋"/>
                <w:spacing w:val="-4"/>
                <w:sz w:val="32"/>
                <w:szCs w:val="32"/>
                <w:highlight w:val="none"/>
              </w:rPr>
              <w:t>1.4</w:t>
            </w:r>
            <w:r>
              <w:rPr>
                <w:rFonts w:ascii="仿宋" w:hAnsi="仿宋" w:eastAsia="仿宋" w:cs="宋体"/>
                <w:spacing w:val="-4"/>
                <w:sz w:val="32"/>
                <w:szCs w:val="32"/>
                <w:highlight w:val="none"/>
              </w:rPr>
              <w:t>）</w:t>
            </w:r>
          </w:p>
        </w:tc>
      </w:tr>
    </w:tbl>
    <w:p w14:paraId="3092CD03">
      <w:pPr>
        <w:keepNext w:val="0"/>
        <w:keepLines w:val="0"/>
        <w:pageBreakBefore w:val="0"/>
        <w:wordWrap/>
        <w:overflowPunct/>
        <w:topLinePunct w:val="0"/>
        <w:bidi w:val="0"/>
        <w:adjustRightInd w:val="0"/>
        <w:snapToGrid w:val="0"/>
        <w:spacing w:after="120" w:line="560" w:lineRule="exact"/>
        <w:ind w:firstLine="560" w:firstLineChars="200"/>
        <w:rPr>
          <w:rFonts w:hint="eastAsia"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备注：括号外是队长的分数，括号内是队员的分数；学校承认的学科竞赛已放置《附件1：国家级、省级、校级学科竞赛项目汇总表》中。</w:t>
      </w:r>
    </w:p>
    <w:p w14:paraId="5397B6BA">
      <w:pPr>
        <w:keepNext w:val="0"/>
        <w:keepLines w:val="0"/>
        <w:pageBreakBefore w:val="0"/>
        <w:wordWrap/>
        <w:overflowPunct/>
        <w:topLinePunct w:val="0"/>
        <w:bidi w:val="0"/>
        <w:adjustRightInd w:val="0"/>
        <w:snapToGrid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2.参加学科竞赛、科技竞赛、创新创业竞赛和其他类似竞赛未获奖者加0.3分。</w:t>
      </w:r>
    </w:p>
    <w:p w14:paraId="37FE1CA0">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第一学年首次通过外语四级加2分;第二学年至第四学年首次通过外语四级不加分、首次通过六级加2分;首次通过全国外语口语考试优秀加3分，良好加2分，合格加1分，首次参加雅思考试获6.5分及以上成绩、托福考试获95分及以上成绩加4分。以上项目加分就高原则,不重复加分。</w:t>
      </w:r>
    </w:p>
    <w:p w14:paraId="21A75333">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4.全国计算机等级考试三级及三级以上加1分。</w:t>
      </w:r>
    </w:p>
    <w:p w14:paraId="1A684842">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5.经学院认定的其他类似能力拓展情况（如普通话二甲及以上证书、通过ACCA（通过1门加1分）考试、裁判员证、艺术类等级考试证书等），加1分。</w:t>
      </w:r>
    </w:p>
    <w:p w14:paraId="45C82F82">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以上项目得分不超过5分。</w:t>
      </w:r>
    </w:p>
    <w:p w14:paraId="5BDF942C">
      <w:pPr>
        <w:keepNext w:val="0"/>
        <w:keepLines w:val="0"/>
        <w:pageBreakBefore w:val="0"/>
        <w:wordWrap/>
        <w:overflowPunct/>
        <w:topLinePunct w:val="0"/>
        <w:bidi w:val="0"/>
        <w:spacing w:after="120" w:line="560" w:lineRule="exact"/>
        <w:ind w:firstLine="640" w:firstLineChars="200"/>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（三）学术成果、科技发明和其他类似能力发展表现情况（5分）</w:t>
      </w:r>
    </w:p>
    <w:p w14:paraId="1BC3F9E0">
      <w:pPr>
        <w:keepNext w:val="0"/>
        <w:keepLines w:val="0"/>
        <w:pageBreakBefore w:val="0"/>
        <w:wordWrap/>
        <w:overflowPunct/>
        <w:topLinePunct w:val="0"/>
        <w:bidi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sz w:val="32"/>
          <w:szCs w:val="32"/>
          <w:highlight w:val="none"/>
        </w:rPr>
        <w:t>1.</w:t>
      </w:r>
      <w:r>
        <w:rPr>
          <w:rFonts w:hint="eastAsia" w:ascii="仿宋" w:hAnsi="仿宋" w:eastAsia="仿宋"/>
          <w:kern w:val="0"/>
          <w:sz w:val="32"/>
          <w:szCs w:val="32"/>
          <w:highlight w:val="none"/>
        </w:rPr>
        <w:t>在国家正式刊物上发表论文或译文,按其刊物类别,C刊加5分，北大核心加3分，其他普刊加0.5分(指公开出版发行的，且有国内统一刊号)，其中第二作者按80%计算加分，第三作者以后按50%计算加分。</w:t>
      </w:r>
    </w:p>
    <w:p w14:paraId="355EF741">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2.获得发明专利、实用新型专利、外观设计专利或软件著作权等独立作者加5分，第一作者按4.5分计算加分，第二作者按4分计算加分，第三作者以后按2.5分计算加分。</w:t>
      </w:r>
    </w:p>
    <w:p w14:paraId="655059AC">
      <w:pPr>
        <w:keepNext w:val="0"/>
        <w:keepLines w:val="0"/>
        <w:pageBreakBefore w:val="0"/>
        <w:wordWrap/>
        <w:overflowPunct/>
        <w:topLinePunct w:val="0"/>
        <w:bidi w:val="0"/>
        <w:spacing w:after="120" w:line="560" w:lineRule="exact"/>
        <w:ind w:firstLine="640" w:firstLineChars="200"/>
        <w:rPr>
          <w:rFonts w:hint="eastAsia" w:ascii="仿宋" w:hAnsi="仿宋" w:eastAsia="仿宋"/>
          <w:kern w:val="0"/>
          <w:sz w:val="32"/>
          <w:szCs w:val="32"/>
          <w:highlight w:val="none"/>
        </w:rPr>
      </w:pPr>
      <w:r>
        <w:rPr>
          <w:rFonts w:hint="eastAsia" w:ascii="仿宋" w:hAnsi="仿宋" w:eastAsia="仿宋"/>
          <w:sz w:val="32"/>
          <w:szCs w:val="32"/>
          <w:highlight w:val="none"/>
        </w:rPr>
        <w:t>3.在国家级学术会议上作报告或提交会议论文，</w:t>
      </w:r>
      <w:r>
        <w:rPr>
          <w:rFonts w:hint="eastAsia" w:ascii="仿宋" w:hAnsi="仿宋" w:eastAsia="仿宋"/>
          <w:kern w:val="0"/>
          <w:sz w:val="32"/>
          <w:szCs w:val="32"/>
          <w:highlight w:val="none"/>
        </w:rPr>
        <w:t>按一、二、三等奖分别加5分，4.5分、4分，在省级</w:t>
      </w:r>
      <w:r>
        <w:rPr>
          <w:rFonts w:hint="eastAsia" w:ascii="仿宋" w:hAnsi="仿宋" w:eastAsia="仿宋"/>
          <w:sz w:val="32"/>
          <w:szCs w:val="32"/>
          <w:highlight w:val="none"/>
        </w:rPr>
        <w:t>学术会议上作报告或提交会议论文，</w:t>
      </w:r>
      <w:r>
        <w:rPr>
          <w:rFonts w:hint="eastAsia" w:ascii="仿宋" w:hAnsi="仿宋" w:eastAsia="仿宋"/>
          <w:kern w:val="0"/>
          <w:sz w:val="32"/>
          <w:szCs w:val="32"/>
          <w:highlight w:val="none"/>
        </w:rPr>
        <w:t>按一、二、三等奖分别加3.5分、3分、2.5分;在校级</w:t>
      </w:r>
      <w:r>
        <w:rPr>
          <w:rFonts w:hint="eastAsia" w:ascii="仿宋" w:hAnsi="仿宋" w:eastAsia="仿宋"/>
          <w:sz w:val="32"/>
          <w:szCs w:val="32"/>
          <w:highlight w:val="none"/>
        </w:rPr>
        <w:t>学术会议上作报告或提交会议论文</w:t>
      </w:r>
      <w:r>
        <w:rPr>
          <w:rFonts w:hint="eastAsia" w:ascii="仿宋" w:hAnsi="仿宋" w:eastAsia="仿宋"/>
          <w:kern w:val="0"/>
          <w:sz w:val="32"/>
          <w:szCs w:val="32"/>
          <w:highlight w:val="none"/>
        </w:rPr>
        <w:t>，按一、二、三等奖分别加2.5分、2分、1.5分，参加</w:t>
      </w:r>
      <w:r>
        <w:rPr>
          <w:rFonts w:hint="eastAsia" w:ascii="仿宋" w:hAnsi="仿宋" w:eastAsia="仿宋"/>
          <w:sz w:val="32"/>
          <w:szCs w:val="32"/>
          <w:highlight w:val="none"/>
        </w:rPr>
        <w:t>活动</w:t>
      </w:r>
      <w:r>
        <w:rPr>
          <w:rFonts w:hint="eastAsia" w:ascii="仿宋" w:hAnsi="仿宋" w:eastAsia="仿宋"/>
          <w:kern w:val="0"/>
          <w:sz w:val="32"/>
          <w:szCs w:val="32"/>
          <w:highlight w:val="none"/>
        </w:rPr>
        <w:t>未获奖者加1分</w:t>
      </w:r>
      <w:r>
        <w:rPr>
          <w:rFonts w:hint="eastAsia" w:ascii="仿宋" w:hAnsi="仿宋" w:eastAsia="仿宋"/>
          <w:sz w:val="32"/>
          <w:szCs w:val="32"/>
          <w:highlight w:val="none"/>
        </w:rPr>
        <w:t>。</w:t>
      </w:r>
    </w:p>
    <w:p w14:paraId="1B172911">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4.在国家级主题征文活动中获奖者，</w:t>
      </w:r>
      <w:r>
        <w:rPr>
          <w:rFonts w:hint="eastAsia" w:ascii="仿宋" w:hAnsi="仿宋" w:eastAsia="仿宋"/>
          <w:kern w:val="0"/>
          <w:sz w:val="32"/>
          <w:szCs w:val="32"/>
          <w:highlight w:val="none"/>
        </w:rPr>
        <w:t>按一、二、三等奖分别加5分，4.5分、4分，在省级</w:t>
      </w:r>
      <w:r>
        <w:rPr>
          <w:rFonts w:hint="eastAsia" w:ascii="仿宋" w:hAnsi="仿宋" w:eastAsia="仿宋"/>
          <w:sz w:val="32"/>
          <w:szCs w:val="32"/>
          <w:highlight w:val="none"/>
        </w:rPr>
        <w:t>主题征文活动</w:t>
      </w:r>
      <w:r>
        <w:rPr>
          <w:rFonts w:hint="eastAsia" w:ascii="仿宋" w:hAnsi="仿宋" w:eastAsia="仿宋"/>
          <w:kern w:val="0"/>
          <w:sz w:val="32"/>
          <w:szCs w:val="32"/>
          <w:highlight w:val="none"/>
        </w:rPr>
        <w:t>中获奖者，按一、二、三等奖分别加4分、3.5分、3分;在校级</w:t>
      </w:r>
      <w:r>
        <w:rPr>
          <w:rFonts w:hint="eastAsia" w:ascii="仿宋" w:hAnsi="仿宋" w:eastAsia="仿宋"/>
          <w:sz w:val="32"/>
          <w:szCs w:val="32"/>
          <w:highlight w:val="none"/>
        </w:rPr>
        <w:t>主题征文活动</w:t>
      </w:r>
      <w:r>
        <w:rPr>
          <w:rFonts w:hint="eastAsia" w:ascii="仿宋" w:hAnsi="仿宋" w:eastAsia="仿宋"/>
          <w:kern w:val="0"/>
          <w:sz w:val="32"/>
          <w:szCs w:val="32"/>
          <w:highlight w:val="none"/>
        </w:rPr>
        <w:t>获奖者，按一、二、三等奖分别加3分、2.5分、2分，在院级征文活动获奖者，按一、二、三等将分别加2分、1.5分、1分，参加</w:t>
      </w:r>
      <w:r>
        <w:rPr>
          <w:rFonts w:hint="eastAsia" w:ascii="仿宋" w:hAnsi="仿宋" w:eastAsia="仿宋"/>
          <w:sz w:val="32"/>
          <w:szCs w:val="32"/>
          <w:highlight w:val="none"/>
        </w:rPr>
        <w:t>主题征文活动</w:t>
      </w:r>
      <w:r>
        <w:rPr>
          <w:rFonts w:hint="eastAsia" w:ascii="仿宋" w:hAnsi="仿宋" w:eastAsia="仿宋"/>
          <w:kern w:val="0"/>
          <w:sz w:val="32"/>
          <w:szCs w:val="32"/>
          <w:highlight w:val="none"/>
        </w:rPr>
        <w:t>未获奖者加0.</w:t>
      </w:r>
      <w:r>
        <w:rPr>
          <w:rFonts w:hint="eastAsia" w:ascii="仿宋" w:hAnsi="仿宋" w:eastAsia="仿宋"/>
          <w:kern w:val="0"/>
          <w:sz w:val="32"/>
          <w:szCs w:val="32"/>
          <w:highlight w:val="none"/>
          <w:lang w:val="en-US" w:eastAsia="zh-CN"/>
        </w:rPr>
        <w:t>3</w:t>
      </w:r>
      <w:r>
        <w:rPr>
          <w:rFonts w:hint="eastAsia" w:ascii="仿宋" w:hAnsi="仿宋" w:eastAsia="仿宋"/>
          <w:kern w:val="0"/>
          <w:sz w:val="32"/>
          <w:szCs w:val="32"/>
          <w:highlight w:val="none"/>
        </w:rPr>
        <w:t>分</w:t>
      </w:r>
      <w:r>
        <w:rPr>
          <w:rFonts w:hint="eastAsia" w:ascii="仿宋" w:hAnsi="仿宋" w:eastAsia="仿宋"/>
          <w:sz w:val="32"/>
          <w:szCs w:val="32"/>
          <w:highlight w:val="none"/>
        </w:rPr>
        <w:t>。</w:t>
      </w:r>
    </w:p>
    <w:p w14:paraId="4CBD0EB1">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在校、院微信公众号、微博公众号、报刊、官方网站等发表文章或视频，省级及以上一篇加2分，校级一篇加1分，院级一篇加0.5分，第二作者按80%计算加分，第三作者及以后按50%计算加分；此项最高分数不超过3分。</w:t>
      </w:r>
    </w:p>
    <w:p w14:paraId="41E1857E">
      <w:pPr>
        <w:keepNext w:val="0"/>
        <w:keepLines w:val="0"/>
        <w:pageBreakBefore w:val="0"/>
        <w:wordWrap/>
        <w:overflowPunct/>
        <w:topLinePunct w:val="0"/>
        <w:bidi w:val="0"/>
        <w:spacing w:after="120"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6.经学院（系）认定的其他类似能力拓展情况。（校级1分/次，院级0.5分/次）</w:t>
      </w:r>
    </w:p>
    <w:p w14:paraId="53C860FE">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kern w:val="0"/>
          <w:sz w:val="32"/>
          <w:szCs w:val="32"/>
          <w:highlight w:val="none"/>
        </w:rPr>
      </w:pPr>
      <w:r>
        <w:rPr>
          <w:rFonts w:hint="eastAsia" w:ascii="黑体" w:hAnsi="黑体" w:eastAsia="黑体" w:cs="Times New Roman"/>
          <w:kern w:val="0"/>
          <w:sz w:val="32"/>
          <w:szCs w:val="32"/>
          <w:highlight w:val="none"/>
        </w:rPr>
        <w:t>第五章 附则</w:t>
      </w:r>
    </w:p>
    <w:p w14:paraId="093B44BC">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rPr>
          <w:rFonts w:hint="eastAsia" w:ascii="仿宋" w:hAnsi="仿宋" w:eastAsia="仿宋"/>
          <w:sz w:val="32"/>
          <w:szCs w:val="32"/>
          <w:highlight w:val="none"/>
        </w:rPr>
      </w:pPr>
      <w:r>
        <w:rPr>
          <w:rFonts w:hint="eastAsia" w:ascii="仿宋" w:hAnsi="仿宋" w:eastAsia="仿宋" w:cs="仿宋"/>
          <w:b/>
          <w:bCs/>
          <w:color w:val="000000"/>
          <w:kern w:val="2"/>
          <w:sz w:val="32"/>
          <w:szCs w:val="32"/>
          <w:highlight w:val="none"/>
          <w:lang w:val="en-US" w:eastAsia="zh-CN" w:bidi="ar-SA"/>
        </w:rPr>
        <w:t>第十八条</w:t>
      </w:r>
      <w:r>
        <w:rPr>
          <w:rFonts w:hint="eastAsia" w:ascii="仿宋" w:hAnsi="仿宋" w:eastAsia="仿宋"/>
          <w:kern w:val="0"/>
          <w:sz w:val="32"/>
          <w:szCs w:val="32"/>
          <w:highlight w:val="none"/>
        </w:rPr>
        <w:t xml:space="preserve"> 本细则如有未尽事宜，由院综合测评领导小组根据实际情况研究决定。</w:t>
      </w:r>
    </w:p>
    <w:p w14:paraId="104A5E2D">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textAlignment w:val="auto"/>
        <w:rPr>
          <w:rFonts w:hint="eastAsia" w:ascii="仿宋" w:hAnsi="仿宋" w:eastAsia="仿宋"/>
          <w:sz w:val="32"/>
          <w:szCs w:val="32"/>
          <w:highlight w:val="none"/>
        </w:rPr>
      </w:pPr>
      <w:r>
        <w:rPr>
          <w:rFonts w:hint="eastAsia" w:ascii="仿宋" w:hAnsi="仿宋" w:eastAsia="仿宋" w:cs="仿宋"/>
          <w:b/>
          <w:bCs/>
          <w:color w:val="000000"/>
          <w:kern w:val="2"/>
          <w:sz w:val="32"/>
          <w:szCs w:val="32"/>
          <w:highlight w:val="none"/>
          <w:lang w:val="en-US" w:eastAsia="zh-CN" w:bidi="ar-SA"/>
        </w:rPr>
        <w:t>第十九条</w:t>
      </w:r>
      <w:r>
        <w:rPr>
          <w:rFonts w:hint="eastAsia" w:ascii="仿宋" w:hAnsi="仿宋" w:eastAsia="仿宋"/>
          <w:sz w:val="32"/>
          <w:szCs w:val="32"/>
          <w:highlight w:val="none"/>
        </w:rPr>
        <w:t xml:space="preserve"> 本细则由学院素质能力测评领导小组负责解释。</w:t>
      </w:r>
    </w:p>
    <w:p w14:paraId="7A7A21BB">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textAlignment w:val="auto"/>
        <w:rPr>
          <w:rFonts w:hint="eastAsia" w:ascii="仿宋" w:hAnsi="仿宋" w:eastAsia="仿宋"/>
          <w:sz w:val="32"/>
          <w:szCs w:val="32"/>
          <w:highlight w:val="none"/>
          <w:lang w:val="en-US" w:eastAsia="zh-CN"/>
        </w:rPr>
      </w:pPr>
      <w:r>
        <w:rPr>
          <w:rFonts w:hint="eastAsia" w:ascii="仿宋" w:hAnsi="仿宋" w:eastAsia="仿宋" w:cs="仿宋"/>
          <w:b/>
          <w:bCs/>
          <w:color w:val="000000"/>
          <w:kern w:val="2"/>
          <w:sz w:val="32"/>
          <w:szCs w:val="32"/>
          <w:highlight w:val="none"/>
          <w:lang w:val="en-US" w:eastAsia="zh-CN" w:bidi="ar-SA"/>
        </w:rPr>
        <w:t>第二十条</w:t>
      </w:r>
      <w:r>
        <w:rPr>
          <w:rFonts w:hint="eastAsia" w:ascii="仿宋" w:hAnsi="仿宋" w:eastAsia="仿宋"/>
          <w:sz w:val="32"/>
          <w:szCs w:val="32"/>
          <w:highlight w:val="none"/>
        </w:rPr>
        <w:t xml:space="preserve"> 本细则从202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日开始实行。</w:t>
      </w:r>
      <w:r>
        <w:rPr>
          <w:rFonts w:hint="eastAsia" w:ascii="仿宋" w:hAnsi="仿宋" w:eastAsia="仿宋"/>
          <w:sz w:val="32"/>
          <w:szCs w:val="32"/>
          <w:highlight w:val="none"/>
          <w:lang w:val="en-US" w:eastAsia="zh-CN"/>
        </w:rPr>
        <w:t>自2023级、2024级毕业之后，此细则自动作废。</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3B86B6-3248-4131-81B3-18EB544351CA}"/>
  </w:font>
  <w:font w:name="黑体">
    <w:panose1 w:val="02010609060101010101"/>
    <w:charset w:val="86"/>
    <w:family w:val="auto"/>
    <w:pitch w:val="default"/>
    <w:sig w:usb0="800002BF" w:usb1="38CF7CFA" w:usb2="00000016" w:usb3="00000000" w:csb0="00040001" w:csb1="00000000"/>
    <w:embedRegular r:id="rId2" w:fontKey="{7A7B2DA8-DC51-450A-A0E6-35E1CB08C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0120C56-BD76-437C-AD50-D6569851F7D2}"/>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00000001" w:usb1="080E0000" w:usb2="00000000" w:usb3="00000000" w:csb0="00040000" w:csb1="00000000"/>
    <w:embedRegular r:id="rId4" w:fontKey="{5528C2E7-225D-455A-BF41-E431FB598CA2}"/>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82CB3B82-52F6-427A-97A3-BDEA3D812A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C9C6">
    <w:pPr>
      <w:pStyle w:val="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54C5C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5E54C5C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6"/>
      <w:numFmt w:val="chineseCounting"/>
      <w:pStyle w:val="2"/>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NGEyN2JhMWFhODA4NjZiN2JjZjAxMGYzZWQwNzEifQ=="/>
  </w:docVars>
  <w:rsids>
    <w:rsidRoot w:val="00172A27"/>
    <w:rsid w:val="0000081F"/>
    <w:rsid w:val="00005C8D"/>
    <w:rsid w:val="00006A1B"/>
    <w:rsid w:val="00015F5C"/>
    <w:rsid w:val="000274F5"/>
    <w:rsid w:val="000316EE"/>
    <w:rsid w:val="00034E8F"/>
    <w:rsid w:val="0004290A"/>
    <w:rsid w:val="000548D3"/>
    <w:rsid w:val="00057814"/>
    <w:rsid w:val="000608A9"/>
    <w:rsid w:val="00064A5D"/>
    <w:rsid w:val="00067D21"/>
    <w:rsid w:val="00082963"/>
    <w:rsid w:val="00086508"/>
    <w:rsid w:val="00095042"/>
    <w:rsid w:val="000A1BF1"/>
    <w:rsid w:val="000A26C2"/>
    <w:rsid w:val="000A3A98"/>
    <w:rsid w:val="000C15D5"/>
    <w:rsid w:val="000D3657"/>
    <w:rsid w:val="000E3429"/>
    <w:rsid w:val="000E4882"/>
    <w:rsid w:val="000F292C"/>
    <w:rsid w:val="0010482F"/>
    <w:rsid w:val="00104C97"/>
    <w:rsid w:val="001120D4"/>
    <w:rsid w:val="0012212A"/>
    <w:rsid w:val="00137001"/>
    <w:rsid w:val="00141DFB"/>
    <w:rsid w:val="0014284A"/>
    <w:rsid w:val="00142E82"/>
    <w:rsid w:val="00146446"/>
    <w:rsid w:val="00152542"/>
    <w:rsid w:val="00152C6C"/>
    <w:rsid w:val="001530D8"/>
    <w:rsid w:val="001572F8"/>
    <w:rsid w:val="001634DF"/>
    <w:rsid w:val="00167305"/>
    <w:rsid w:val="00167B6E"/>
    <w:rsid w:val="00172A27"/>
    <w:rsid w:val="00173FC2"/>
    <w:rsid w:val="00175BD3"/>
    <w:rsid w:val="00191C61"/>
    <w:rsid w:val="001941E5"/>
    <w:rsid w:val="00194EA8"/>
    <w:rsid w:val="0019571B"/>
    <w:rsid w:val="001A5578"/>
    <w:rsid w:val="001A63B8"/>
    <w:rsid w:val="001A77BD"/>
    <w:rsid w:val="001C2B40"/>
    <w:rsid w:val="001D31AF"/>
    <w:rsid w:val="001D3864"/>
    <w:rsid w:val="001D3888"/>
    <w:rsid w:val="001F3296"/>
    <w:rsid w:val="00203D4B"/>
    <w:rsid w:val="00203DA1"/>
    <w:rsid w:val="0020496D"/>
    <w:rsid w:val="002071AE"/>
    <w:rsid w:val="00210656"/>
    <w:rsid w:val="00210FD1"/>
    <w:rsid w:val="00215BAC"/>
    <w:rsid w:val="00222264"/>
    <w:rsid w:val="002270CF"/>
    <w:rsid w:val="0023354D"/>
    <w:rsid w:val="00251222"/>
    <w:rsid w:val="00263EBA"/>
    <w:rsid w:val="0027165A"/>
    <w:rsid w:val="00280A34"/>
    <w:rsid w:val="00293040"/>
    <w:rsid w:val="0029398D"/>
    <w:rsid w:val="00293F92"/>
    <w:rsid w:val="002A72C2"/>
    <w:rsid w:val="002B2502"/>
    <w:rsid w:val="002B2A0D"/>
    <w:rsid w:val="002B430B"/>
    <w:rsid w:val="002C1BBD"/>
    <w:rsid w:val="002C6DDD"/>
    <w:rsid w:val="002D5344"/>
    <w:rsid w:val="002E36D3"/>
    <w:rsid w:val="002E4B5E"/>
    <w:rsid w:val="002E6B9C"/>
    <w:rsid w:val="002F13B9"/>
    <w:rsid w:val="003069DA"/>
    <w:rsid w:val="00311117"/>
    <w:rsid w:val="0032554F"/>
    <w:rsid w:val="003267C5"/>
    <w:rsid w:val="00333249"/>
    <w:rsid w:val="00334F10"/>
    <w:rsid w:val="00336EC4"/>
    <w:rsid w:val="0033723B"/>
    <w:rsid w:val="0035340D"/>
    <w:rsid w:val="00356D7E"/>
    <w:rsid w:val="00357F49"/>
    <w:rsid w:val="003613BA"/>
    <w:rsid w:val="00366E91"/>
    <w:rsid w:val="003677D0"/>
    <w:rsid w:val="003677E9"/>
    <w:rsid w:val="00374135"/>
    <w:rsid w:val="003823AB"/>
    <w:rsid w:val="003855CE"/>
    <w:rsid w:val="00390422"/>
    <w:rsid w:val="0039253D"/>
    <w:rsid w:val="003957D9"/>
    <w:rsid w:val="00395DCA"/>
    <w:rsid w:val="003B07F7"/>
    <w:rsid w:val="003C7E49"/>
    <w:rsid w:val="003E10E3"/>
    <w:rsid w:val="003E494A"/>
    <w:rsid w:val="003E6D26"/>
    <w:rsid w:val="003E6F3A"/>
    <w:rsid w:val="003F4481"/>
    <w:rsid w:val="003F5586"/>
    <w:rsid w:val="00400B66"/>
    <w:rsid w:val="00402835"/>
    <w:rsid w:val="00405FDB"/>
    <w:rsid w:val="004067FA"/>
    <w:rsid w:val="004126E8"/>
    <w:rsid w:val="00432E1C"/>
    <w:rsid w:val="004331C3"/>
    <w:rsid w:val="00440C2E"/>
    <w:rsid w:val="00440CE5"/>
    <w:rsid w:val="00441793"/>
    <w:rsid w:val="00452DF3"/>
    <w:rsid w:val="00454AD9"/>
    <w:rsid w:val="0046030E"/>
    <w:rsid w:val="00460C59"/>
    <w:rsid w:val="00463029"/>
    <w:rsid w:val="004802C8"/>
    <w:rsid w:val="00481223"/>
    <w:rsid w:val="00485E12"/>
    <w:rsid w:val="00485F2E"/>
    <w:rsid w:val="00491B80"/>
    <w:rsid w:val="004931BB"/>
    <w:rsid w:val="00493E45"/>
    <w:rsid w:val="0049438D"/>
    <w:rsid w:val="004A0384"/>
    <w:rsid w:val="004A3C92"/>
    <w:rsid w:val="004A6D44"/>
    <w:rsid w:val="004B68EF"/>
    <w:rsid w:val="004C4D67"/>
    <w:rsid w:val="004C7388"/>
    <w:rsid w:val="004D4DF3"/>
    <w:rsid w:val="004D4E89"/>
    <w:rsid w:val="004D7712"/>
    <w:rsid w:val="004E2CCC"/>
    <w:rsid w:val="004E439B"/>
    <w:rsid w:val="004E5DDB"/>
    <w:rsid w:val="004F0AF9"/>
    <w:rsid w:val="004F3430"/>
    <w:rsid w:val="005002EE"/>
    <w:rsid w:val="00500431"/>
    <w:rsid w:val="005022F3"/>
    <w:rsid w:val="00517AAC"/>
    <w:rsid w:val="00521C6A"/>
    <w:rsid w:val="00531558"/>
    <w:rsid w:val="005315CC"/>
    <w:rsid w:val="00532225"/>
    <w:rsid w:val="00533647"/>
    <w:rsid w:val="00540878"/>
    <w:rsid w:val="00545CDD"/>
    <w:rsid w:val="00553F12"/>
    <w:rsid w:val="00555C20"/>
    <w:rsid w:val="00574327"/>
    <w:rsid w:val="00581E04"/>
    <w:rsid w:val="00586ADB"/>
    <w:rsid w:val="005934E3"/>
    <w:rsid w:val="005A2ECD"/>
    <w:rsid w:val="005A6139"/>
    <w:rsid w:val="005B0BA2"/>
    <w:rsid w:val="005B47AA"/>
    <w:rsid w:val="005C2C5D"/>
    <w:rsid w:val="005C5E16"/>
    <w:rsid w:val="005D02DC"/>
    <w:rsid w:val="005D14D6"/>
    <w:rsid w:val="005D6598"/>
    <w:rsid w:val="005D6E09"/>
    <w:rsid w:val="005F54FE"/>
    <w:rsid w:val="00607A4F"/>
    <w:rsid w:val="00607CFA"/>
    <w:rsid w:val="00627C4C"/>
    <w:rsid w:val="00635EF9"/>
    <w:rsid w:val="006418FF"/>
    <w:rsid w:val="006438D9"/>
    <w:rsid w:val="00647953"/>
    <w:rsid w:val="0065414B"/>
    <w:rsid w:val="006616E3"/>
    <w:rsid w:val="0066558A"/>
    <w:rsid w:val="00666B40"/>
    <w:rsid w:val="00670D8D"/>
    <w:rsid w:val="00671C55"/>
    <w:rsid w:val="00673A48"/>
    <w:rsid w:val="00673EE5"/>
    <w:rsid w:val="0068270A"/>
    <w:rsid w:val="0068445D"/>
    <w:rsid w:val="00685571"/>
    <w:rsid w:val="00687AA9"/>
    <w:rsid w:val="00694BAE"/>
    <w:rsid w:val="006952D3"/>
    <w:rsid w:val="006A26DB"/>
    <w:rsid w:val="006B309A"/>
    <w:rsid w:val="006B7C0F"/>
    <w:rsid w:val="006C319E"/>
    <w:rsid w:val="006C4C9E"/>
    <w:rsid w:val="006E2BD5"/>
    <w:rsid w:val="006F0B04"/>
    <w:rsid w:val="006F2205"/>
    <w:rsid w:val="006F290D"/>
    <w:rsid w:val="006F452C"/>
    <w:rsid w:val="006F51EC"/>
    <w:rsid w:val="007007DA"/>
    <w:rsid w:val="00706AD0"/>
    <w:rsid w:val="007219D4"/>
    <w:rsid w:val="0072692C"/>
    <w:rsid w:val="00732105"/>
    <w:rsid w:val="00767DD0"/>
    <w:rsid w:val="00781FFB"/>
    <w:rsid w:val="007923E1"/>
    <w:rsid w:val="00792502"/>
    <w:rsid w:val="00793BCB"/>
    <w:rsid w:val="007943FC"/>
    <w:rsid w:val="007A722E"/>
    <w:rsid w:val="007B4F9F"/>
    <w:rsid w:val="007B7EE8"/>
    <w:rsid w:val="007C1489"/>
    <w:rsid w:val="007D296C"/>
    <w:rsid w:val="007D361A"/>
    <w:rsid w:val="007E2DAF"/>
    <w:rsid w:val="007F264A"/>
    <w:rsid w:val="007F4EAF"/>
    <w:rsid w:val="007F66B4"/>
    <w:rsid w:val="007F75C2"/>
    <w:rsid w:val="00801519"/>
    <w:rsid w:val="00806A04"/>
    <w:rsid w:val="00831006"/>
    <w:rsid w:val="008314AA"/>
    <w:rsid w:val="00836ACF"/>
    <w:rsid w:val="00836CA0"/>
    <w:rsid w:val="00836F82"/>
    <w:rsid w:val="00840F89"/>
    <w:rsid w:val="0084586D"/>
    <w:rsid w:val="00847281"/>
    <w:rsid w:val="00847D52"/>
    <w:rsid w:val="00854208"/>
    <w:rsid w:val="00864D3F"/>
    <w:rsid w:val="0087194F"/>
    <w:rsid w:val="00877C85"/>
    <w:rsid w:val="00880399"/>
    <w:rsid w:val="00882E19"/>
    <w:rsid w:val="00890B0B"/>
    <w:rsid w:val="008A1A45"/>
    <w:rsid w:val="008A2DE0"/>
    <w:rsid w:val="008A65A9"/>
    <w:rsid w:val="008B3B73"/>
    <w:rsid w:val="008B686C"/>
    <w:rsid w:val="008C26BD"/>
    <w:rsid w:val="008C35EF"/>
    <w:rsid w:val="008C649A"/>
    <w:rsid w:val="008E1094"/>
    <w:rsid w:val="008E2351"/>
    <w:rsid w:val="008E2925"/>
    <w:rsid w:val="009061A1"/>
    <w:rsid w:val="00911F25"/>
    <w:rsid w:val="00914179"/>
    <w:rsid w:val="009415FF"/>
    <w:rsid w:val="00952E45"/>
    <w:rsid w:val="00955827"/>
    <w:rsid w:val="0095634F"/>
    <w:rsid w:val="00962A61"/>
    <w:rsid w:val="00970D2D"/>
    <w:rsid w:val="0097386B"/>
    <w:rsid w:val="00975BEC"/>
    <w:rsid w:val="00976018"/>
    <w:rsid w:val="009777DB"/>
    <w:rsid w:val="00990039"/>
    <w:rsid w:val="0099260D"/>
    <w:rsid w:val="00992732"/>
    <w:rsid w:val="00996304"/>
    <w:rsid w:val="00996644"/>
    <w:rsid w:val="00996D94"/>
    <w:rsid w:val="009A0B16"/>
    <w:rsid w:val="009A17C6"/>
    <w:rsid w:val="009A2934"/>
    <w:rsid w:val="009B1B6F"/>
    <w:rsid w:val="009D2548"/>
    <w:rsid w:val="009E7D5D"/>
    <w:rsid w:val="009F1C96"/>
    <w:rsid w:val="009F35E8"/>
    <w:rsid w:val="009F6588"/>
    <w:rsid w:val="00A007F0"/>
    <w:rsid w:val="00A06FB7"/>
    <w:rsid w:val="00A07A13"/>
    <w:rsid w:val="00A134B1"/>
    <w:rsid w:val="00A1743C"/>
    <w:rsid w:val="00A237AA"/>
    <w:rsid w:val="00A32E80"/>
    <w:rsid w:val="00A35D75"/>
    <w:rsid w:val="00A41BF0"/>
    <w:rsid w:val="00A41FA0"/>
    <w:rsid w:val="00A50C35"/>
    <w:rsid w:val="00A611D3"/>
    <w:rsid w:val="00A83826"/>
    <w:rsid w:val="00A851F9"/>
    <w:rsid w:val="00A87D5C"/>
    <w:rsid w:val="00A94F86"/>
    <w:rsid w:val="00A97C96"/>
    <w:rsid w:val="00AA2CC8"/>
    <w:rsid w:val="00AB2DC9"/>
    <w:rsid w:val="00AD29D9"/>
    <w:rsid w:val="00B04354"/>
    <w:rsid w:val="00B06514"/>
    <w:rsid w:val="00B06CAC"/>
    <w:rsid w:val="00B15D67"/>
    <w:rsid w:val="00B21166"/>
    <w:rsid w:val="00B23BF3"/>
    <w:rsid w:val="00B24563"/>
    <w:rsid w:val="00B25593"/>
    <w:rsid w:val="00B34836"/>
    <w:rsid w:val="00B45C2E"/>
    <w:rsid w:val="00B503EC"/>
    <w:rsid w:val="00B518B8"/>
    <w:rsid w:val="00B5203D"/>
    <w:rsid w:val="00B6010F"/>
    <w:rsid w:val="00B616A5"/>
    <w:rsid w:val="00B64512"/>
    <w:rsid w:val="00B74D33"/>
    <w:rsid w:val="00B90B94"/>
    <w:rsid w:val="00B94079"/>
    <w:rsid w:val="00BA1775"/>
    <w:rsid w:val="00BD1950"/>
    <w:rsid w:val="00BE0D97"/>
    <w:rsid w:val="00BE5059"/>
    <w:rsid w:val="00BF4CE2"/>
    <w:rsid w:val="00C045FF"/>
    <w:rsid w:val="00C2008D"/>
    <w:rsid w:val="00C22487"/>
    <w:rsid w:val="00C23797"/>
    <w:rsid w:val="00C41A59"/>
    <w:rsid w:val="00C535D7"/>
    <w:rsid w:val="00C551D5"/>
    <w:rsid w:val="00C608B0"/>
    <w:rsid w:val="00C67234"/>
    <w:rsid w:val="00C6798B"/>
    <w:rsid w:val="00C73D0D"/>
    <w:rsid w:val="00C74E5A"/>
    <w:rsid w:val="00C75D92"/>
    <w:rsid w:val="00C81C64"/>
    <w:rsid w:val="00C82875"/>
    <w:rsid w:val="00C8398B"/>
    <w:rsid w:val="00C875E5"/>
    <w:rsid w:val="00CA28D1"/>
    <w:rsid w:val="00CA4677"/>
    <w:rsid w:val="00CA7133"/>
    <w:rsid w:val="00CB3AB6"/>
    <w:rsid w:val="00CB3C93"/>
    <w:rsid w:val="00CC2D9F"/>
    <w:rsid w:val="00CC7FEF"/>
    <w:rsid w:val="00CD3925"/>
    <w:rsid w:val="00CD40C4"/>
    <w:rsid w:val="00CD660D"/>
    <w:rsid w:val="00CD7586"/>
    <w:rsid w:val="00CE0CB7"/>
    <w:rsid w:val="00CE1EB8"/>
    <w:rsid w:val="00CE2FF8"/>
    <w:rsid w:val="00CE48C6"/>
    <w:rsid w:val="00CF4A89"/>
    <w:rsid w:val="00CF799F"/>
    <w:rsid w:val="00CF7D4F"/>
    <w:rsid w:val="00D020D5"/>
    <w:rsid w:val="00D05FD6"/>
    <w:rsid w:val="00D07A5F"/>
    <w:rsid w:val="00D17F90"/>
    <w:rsid w:val="00D359E7"/>
    <w:rsid w:val="00D361E9"/>
    <w:rsid w:val="00D37F32"/>
    <w:rsid w:val="00D430BB"/>
    <w:rsid w:val="00D4488C"/>
    <w:rsid w:val="00D46435"/>
    <w:rsid w:val="00D477C7"/>
    <w:rsid w:val="00D552D3"/>
    <w:rsid w:val="00D60F4C"/>
    <w:rsid w:val="00D91809"/>
    <w:rsid w:val="00D92173"/>
    <w:rsid w:val="00D93158"/>
    <w:rsid w:val="00DA019B"/>
    <w:rsid w:val="00DA08FA"/>
    <w:rsid w:val="00DA1E8D"/>
    <w:rsid w:val="00DA1EE6"/>
    <w:rsid w:val="00DA5495"/>
    <w:rsid w:val="00DA6BFD"/>
    <w:rsid w:val="00DB3CEE"/>
    <w:rsid w:val="00DB4008"/>
    <w:rsid w:val="00DB6F2D"/>
    <w:rsid w:val="00DC0A88"/>
    <w:rsid w:val="00DC7D4D"/>
    <w:rsid w:val="00DD6E80"/>
    <w:rsid w:val="00DE0638"/>
    <w:rsid w:val="00DE5C6C"/>
    <w:rsid w:val="00DF2047"/>
    <w:rsid w:val="00DF70F1"/>
    <w:rsid w:val="00DF7E5F"/>
    <w:rsid w:val="00E0515D"/>
    <w:rsid w:val="00E13B18"/>
    <w:rsid w:val="00E22180"/>
    <w:rsid w:val="00E26E13"/>
    <w:rsid w:val="00E275C6"/>
    <w:rsid w:val="00E35B7E"/>
    <w:rsid w:val="00E42655"/>
    <w:rsid w:val="00E445B1"/>
    <w:rsid w:val="00E446BA"/>
    <w:rsid w:val="00E54D5A"/>
    <w:rsid w:val="00E567C4"/>
    <w:rsid w:val="00E621FB"/>
    <w:rsid w:val="00E64E42"/>
    <w:rsid w:val="00E70BAF"/>
    <w:rsid w:val="00E7718D"/>
    <w:rsid w:val="00E80224"/>
    <w:rsid w:val="00E830D0"/>
    <w:rsid w:val="00E96CF7"/>
    <w:rsid w:val="00EA4C76"/>
    <w:rsid w:val="00EC7F8C"/>
    <w:rsid w:val="00ED1227"/>
    <w:rsid w:val="00ED52B9"/>
    <w:rsid w:val="00EF2841"/>
    <w:rsid w:val="00F011D6"/>
    <w:rsid w:val="00F019C8"/>
    <w:rsid w:val="00F12859"/>
    <w:rsid w:val="00F21C12"/>
    <w:rsid w:val="00F21D8B"/>
    <w:rsid w:val="00F2321F"/>
    <w:rsid w:val="00F2544D"/>
    <w:rsid w:val="00F30A86"/>
    <w:rsid w:val="00F34292"/>
    <w:rsid w:val="00F45C32"/>
    <w:rsid w:val="00F462F0"/>
    <w:rsid w:val="00F47E35"/>
    <w:rsid w:val="00F50F4F"/>
    <w:rsid w:val="00F77225"/>
    <w:rsid w:val="00F8318D"/>
    <w:rsid w:val="00F840E5"/>
    <w:rsid w:val="00F86077"/>
    <w:rsid w:val="00F91104"/>
    <w:rsid w:val="00F92191"/>
    <w:rsid w:val="00FA02C6"/>
    <w:rsid w:val="00FA3AD8"/>
    <w:rsid w:val="00FA5AA6"/>
    <w:rsid w:val="00FB3307"/>
    <w:rsid w:val="00FB674B"/>
    <w:rsid w:val="00FC050D"/>
    <w:rsid w:val="00FC5D31"/>
    <w:rsid w:val="00FC6B55"/>
    <w:rsid w:val="00FD4305"/>
    <w:rsid w:val="00FD4783"/>
    <w:rsid w:val="00FE1DF5"/>
    <w:rsid w:val="00FF7450"/>
    <w:rsid w:val="01622886"/>
    <w:rsid w:val="019D3B68"/>
    <w:rsid w:val="042F723C"/>
    <w:rsid w:val="066B426E"/>
    <w:rsid w:val="074F7CC3"/>
    <w:rsid w:val="075E138C"/>
    <w:rsid w:val="077B6D3F"/>
    <w:rsid w:val="082642E7"/>
    <w:rsid w:val="0AEC3153"/>
    <w:rsid w:val="0B1E53F6"/>
    <w:rsid w:val="0CCD26D3"/>
    <w:rsid w:val="0D7B5E7A"/>
    <w:rsid w:val="0DDA31A0"/>
    <w:rsid w:val="0EBA085C"/>
    <w:rsid w:val="0EBA6E17"/>
    <w:rsid w:val="0FDB4FC0"/>
    <w:rsid w:val="10987821"/>
    <w:rsid w:val="114063D0"/>
    <w:rsid w:val="12F40DF6"/>
    <w:rsid w:val="13C05623"/>
    <w:rsid w:val="13C13492"/>
    <w:rsid w:val="18506ACF"/>
    <w:rsid w:val="18E46827"/>
    <w:rsid w:val="1A284F1C"/>
    <w:rsid w:val="1AED3AC4"/>
    <w:rsid w:val="1B9A0E5F"/>
    <w:rsid w:val="1BBE2C7F"/>
    <w:rsid w:val="1C97240B"/>
    <w:rsid w:val="1D5317F9"/>
    <w:rsid w:val="1D796110"/>
    <w:rsid w:val="1F094B8A"/>
    <w:rsid w:val="1FDE7BF2"/>
    <w:rsid w:val="21127456"/>
    <w:rsid w:val="21CB366A"/>
    <w:rsid w:val="21FB3F4F"/>
    <w:rsid w:val="22221D1F"/>
    <w:rsid w:val="22E5250A"/>
    <w:rsid w:val="2309269C"/>
    <w:rsid w:val="24185577"/>
    <w:rsid w:val="24704055"/>
    <w:rsid w:val="24D804D4"/>
    <w:rsid w:val="25CF4112"/>
    <w:rsid w:val="268A73A2"/>
    <w:rsid w:val="28822F7E"/>
    <w:rsid w:val="2900059D"/>
    <w:rsid w:val="2AFA03E9"/>
    <w:rsid w:val="2C1461BE"/>
    <w:rsid w:val="2D8F527E"/>
    <w:rsid w:val="2EFC4CC2"/>
    <w:rsid w:val="30190383"/>
    <w:rsid w:val="309210A3"/>
    <w:rsid w:val="31C91A28"/>
    <w:rsid w:val="31DD7F18"/>
    <w:rsid w:val="32080CC0"/>
    <w:rsid w:val="35AC27CE"/>
    <w:rsid w:val="35EF127D"/>
    <w:rsid w:val="36743E79"/>
    <w:rsid w:val="38201CE8"/>
    <w:rsid w:val="38303DCF"/>
    <w:rsid w:val="38B64324"/>
    <w:rsid w:val="3C0A4150"/>
    <w:rsid w:val="3D4F4CF8"/>
    <w:rsid w:val="3D89645B"/>
    <w:rsid w:val="408C4D12"/>
    <w:rsid w:val="410521E6"/>
    <w:rsid w:val="419F1F04"/>
    <w:rsid w:val="41F538B8"/>
    <w:rsid w:val="43385FE7"/>
    <w:rsid w:val="43FE2ADF"/>
    <w:rsid w:val="46544314"/>
    <w:rsid w:val="46F030A7"/>
    <w:rsid w:val="478101A3"/>
    <w:rsid w:val="48115F20"/>
    <w:rsid w:val="49120FF3"/>
    <w:rsid w:val="49BB3757"/>
    <w:rsid w:val="4D241CFD"/>
    <w:rsid w:val="4D27359B"/>
    <w:rsid w:val="4EF8056D"/>
    <w:rsid w:val="4F4F6299"/>
    <w:rsid w:val="50D04C66"/>
    <w:rsid w:val="518C055D"/>
    <w:rsid w:val="52631F64"/>
    <w:rsid w:val="550D751A"/>
    <w:rsid w:val="56F96536"/>
    <w:rsid w:val="57604884"/>
    <w:rsid w:val="588875E4"/>
    <w:rsid w:val="58A27F7A"/>
    <w:rsid w:val="5B9067AF"/>
    <w:rsid w:val="5C61322E"/>
    <w:rsid w:val="5C733EF3"/>
    <w:rsid w:val="5C8B1F6C"/>
    <w:rsid w:val="5D535C69"/>
    <w:rsid w:val="5DA16A52"/>
    <w:rsid w:val="5E863D7A"/>
    <w:rsid w:val="5FA973F5"/>
    <w:rsid w:val="639D7CBB"/>
    <w:rsid w:val="63DE201B"/>
    <w:rsid w:val="67B55A10"/>
    <w:rsid w:val="67B57CC9"/>
    <w:rsid w:val="6A06480C"/>
    <w:rsid w:val="6B546D84"/>
    <w:rsid w:val="6BFE5942"/>
    <w:rsid w:val="6D7C6777"/>
    <w:rsid w:val="6E1C05DF"/>
    <w:rsid w:val="6F5B17CB"/>
    <w:rsid w:val="728765EF"/>
    <w:rsid w:val="72D95523"/>
    <w:rsid w:val="74221009"/>
    <w:rsid w:val="74D31529"/>
    <w:rsid w:val="75BC0BA7"/>
    <w:rsid w:val="75D5666C"/>
    <w:rsid w:val="765D5067"/>
    <w:rsid w:val="766B61D7"/>
    <w:rsid w:val="769431A0"/>
    <w:rsid w:val="770F4327"/>
    <w:rsid w:val="786A5F40"/>
    <w:rsid w:val="78B22C76"/>
    <w:rsid w:val="7A4269C7"/>
    <w:rsid w:val="7C7B6C52"/>
    <w:rsid w:val="7C9D1406"/>
    <w:rsid w:val="7DB67E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5"/>
    <w:qFormat/>
    <w:uiPriority w:val="9"/>
    <w:pPr>
      <w:widowControl/>
      <w:numPr>
        <w:ilvl w:val="0"/>
        <w:numId w:val="1"/>
      </w:numPr>
      <w:spacing w:after="0"/>
      <w:ind w:left="0" w:leftChars="0" w:firstLine="632" w:firstLineChars="200"/>
      <w:outlineLvl w:val="0"/>
    </w:pPr>
    <w:rPr>
      <w:rFonts w:ascii="仿宋_GB2312" w:hAnsi="仿宋_GB2312" w:eastAsia="仿宋"/>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4"/>
    <w:unhideWhenUsed/>
    <w:qFormat/>
    <w:uiPriority w:val="99"/>
    <w:pPr>
      <w:spacing w:after="120"/>
      <w:ind w:left="420" w:leftChars="200"/>
    </w:pPr>
  </w:style>
  <w:style w:type="paragraph" w:styleId="4">
    <w:name w:val="Body Text"/>
    <w:semiHidden/>
    <w:qFormat/>
    <w:uiPriority w:val="0"/>
    <w:pPr>
      <w:kinsoku w:val="0"/>
      <w:autoSpaceDE w:val="0"/>
      <w:autoSpaceDN w:val="0"/>
      <w:adjustRightInd w:val="0"/>
      <w:snapToGrid w:val="0"/>
      <w:spacing w:before="156" w:beforeLines="50" w:line="560" w:lineRule="exact"/>
      <w:ind w:firstLine="628" w:firstLineChars="200"/>
      <w:textAlignment w:val="baseline"/>
    </w:pPr>
    <w:rPr>
      <w:rFonts w:ascii="宋体" w:hAnsi="宋体" w:eastAsia="宋体" w:cs="宋体"/>
      <w:snapToGrid w:val="0"/>
      <w:color w:val="000000"/>
      <w:spacing w:val="-3"/>
      <w:position w:val="21"/>
      <w:sz w:val="24"/>
      <w:szCs w:val="24"/>
      <w:lang w:val="en-US" w:eastAsia="zh-CN" w:bidi="ar-SA"/>
    </w:rPr>
  </w:style>
  <w:style w:type="paragraph" w:styleId="5">
    <w:name w:val="Plain Text"/>
    <w:basedOn w:val="1"/>
    <w:link w:val="16"/>
    <w:qFormat/>
    <w:uiPriority w:val="0"/>
    <w:rPr>
      <w:rFonts w:ascii="宋体" w:hAnsi="Courier New" w:cs="Courier New"/>
      <w:szCs w:val="21"/>
    </w:rPr>
  </w:style>
  <w:style w:type="paragraph" w:styleId="6">
    <w:name w:val="Date"/>
    <w:basedOn w:val="1"/>
    <w:next w:val="1"/>
    <w:link w:val="17"/>
    <w:unhideWhenUsed/>
    <w:qFormat/>
    <w:uiPriority w:val="99"/>
    <w:pPr>
      <w:ind w:left="100" w:leftChars="2500"/>
    </w:pPr>
  </w:style>
  <w:style w:type="paragraph" w:styleId="7">
    <w:name w:val="Balloon Text"/>
    <w:basedOn w:val="1"/>
    <w:qFormat/>
    <w:uiPriority w:val="0"/>
    <w:rPr>
      <w:sz w:val="18"/>
      <w:szCs w:val="18"/>
    </w:rPr>
  </w:style>
  <w:style w:type="paragraph" w:styleId="8">
    <w:name w:val="footer"/>
    <w:basedOn w:val="1"/>
    <w:link w:val="18"/>
    <w:qFormat/>
    <w:uiPriority w:val="0"/>
    <w:pPr>
      <w:tabs>
        <w:tab w:val="center" w:pos="4140"/>
        <w:tab w:val="right" w:pos="8300"/>
      </w:tabs>
      <w:snapToGrid w:val="0"/>
      <w:spacing w:before="120" w:after="120"/>
      <w:jc w:val="center"/>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rFonts w:ascii="Times New Roman" w:hAnsi="Times New Roman" w:eastAsia="宋体" w:cs="Times New Roman"/>
      <w:b/>
      <w:bCs/>
    </w:rPr>
  </w:style>
  <w:style w:type="character" w:customStyle="1" w:styleId="14">
    <w:name w:val="正文文本缩进 字符"/>
    <w:link w:val="3"/>
    <w:qFormat/>
    <w:uiPriority w:val="99"/>
    <w:rPr>
      <w:rFonts w:ascii="Times New Roman" w:hAnsi="Times New Roman" w:eastAsia="宋体" w:cs="Times New Roman"/>
      <w:kern w:val="2"/>
      <w:sz w:val="21"/>
      <w:szCs w:val="24"/>
    </w:rPr>
  </w:style>
  <w:style w:type="character" w:customStyle="1" w:styleId="15">
    <w:name w:val="标题 1 字符"/>
    <w:link w:val="2"/>
    <w:qFormat/>
    <w:uiPriority w:val="9"/>
    <w:rPr>
      <w:rFonts w:ascii="仿宋_GB2312" w:hAnsi="仿宋_GB2312" w:eastAsia="仿宋" w:cs="Times New Roman"/>
      <w:kern w:val="2"/>
      <w:sz w:val="32"/>
      <w:szCs w:val="32"/>
    </w:rPr>
  </w:style>
  <w:style w:type="character" w:customStyle="1" w:styleId="16">
    <w:name w:val="纯文本 字符1"/>
    <w:link w:val="5"/>
    <w:qFormat/>
    <w:uiPriority w:val="0"/>
    <w:rPr>
      <w:rFonts w:ascii="宋体" w:hAnsi="Courier New" w:cs="Courier New"/>
      <w:kern w:val="2"/>
      <w:sz w:val="21"/>
      <w:szCs w:val="21"/>
    </w:rPr>
  </w:style>
  <w:style w:type="character" w:customStyle="1" w:styleId="17">
    <w:name w:val="日期 字符"/>
    <w:basedOn w:val="12"/>
    <w:link w:val="6"/>
    <w:semiHidden/>
    <w:qFormat/>
    <w:uiPriority w:val="99"/>
    <w:rPr>
      <w:kern w:val="2"/>
      <w:sz w:val="21"/>
      <w:szCs w:val="24"/>
    </w:rPr>
  </w:style>
  <w:style w:type="character" w:customStyle="1" w:styleId="18">
    <w:name w:val="页脚 字符"/>
    <w:link w:val="8"/>
    <w:qFormat/>
    <w:uiPriority w:val="0"/>
    <w:rPr>
      <w:kern w:val="2"/>
      <w:sz w:val="18"/>
      <w:szCs w:val="18"/>
    </w:rPr>
  </w:style>
  <w:style w:type="character" w:customStyle="1" w:styleId="19">
    <w:name w:val="页眉 字符"/>
    <w:link w:val="9"/>
    <w:qFormat/>
    <w:uiPriority w:val="0"/>
    <w:rPr>
      <w:rFonts w:ascii="Times New Roman" w:hAnsi="Times New Roman" w:eastAsia="宋体" w:cs="Times New Roman"/>
      <w:kern w:val="2"/>
      <w:sz w:val="18"/>
      <w:szCs w:val="18"/>
    </w:rPr>
  </w:style>
  <w:style w:type="paragraph" w:customStyle="1" w:styleId="2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1">
    <w:name w:val="纯文本 字符"/>
    <w:semiHidden/>
    <w:qFormat/>
    <w:uiPriority w:val="99"/>
    <w:rPr>
      <w:rFonts w:ascii="宋体" w:hAnsi="Courier New" w:eastAsia="宋体" w:cs="Courier New"/>
      <w:kern w:val="2"/>
      <w:sz w:val="21"/>
      <w:szCs w:val="21"/>
    </w:rPr>
  </w:style>
  <w:style w:type="character" w:customStyle="1" w:styleId="22">
    <w:name w:val="正文 A Char"/>
    <w:link w:val="23"/>
    <w:qFormat/>
    <w:uiPriority w:val="0"/>
    <w:rPr>
      <w:rFonts w:ascii="Arial Unicode MS" w:hAnsi="Arial Unicode MS" w:eastAsia="Arial Unicode MS"/>
      <w:color w:val="000000"/>
      <w:szCs w:val="21"/>
      <w:u w:val="none" w:color="000000"/>
    </w:rPr>
  </w:style>
  <w:style w:type="paragraph" w:customStyle="1" w:styleId="23">
    <w:name w:val="正文 A"/>
    <w:link w:val="22"/>
    <w:qFormat/>
    <w:uiPriority w:val="0"/>
    <w:pPr>
      <w:widowControl w:val="0"/>
      <w:jc w:val="both"/>
    </w:pPr>
    <w:rPr>
      <w:rFonts w:ascii="Arial Unicode MS" w:hAnsi="Arial Unicode MS" w:eastAsia="Arial Unicode MS" w:cs="Times New Roman"/>
      <w:color w:val="000000"/>
      <w:szCs w:val="21"/>
      <w:lang w:val="en-US" w:eastAsia="zh-CN" w:bidi="ar-SA"/>
    </w:rPr>
  </w:style>
  <w:style w:type="paragraph" w:customStyle="1" w:styleId="2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20</Pages>
  <Words>9076</Words>
  <Characters>9541</Characters>
  <Lines>94</Lines>
  <Paragraphs>26</Paragraphs>
  <TotalTime>4</TotalTime>
  <ScaleCrop>false</ScaleCrop>
  <LinksUpToDate>false</LinksUpToDate>
  <CharactersWithSpaces>9587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2021-06-08T03:28:00Z</dcterms:created>
  <dc:creator>雨林木风</dc:creator>
  <cp:lastModifiedBy>高玉珊</cp:lastModifiedBy>
  <cp:lastPrinted>2026-06-15T08:24:00Z</cp:lastPrinted>
  <dcterms:modified xsi:type="dcterms:W3CDTF">2026-06-22T07:07:43Z</dcterms:modified>
  <dc:title>院党发〔2010〕3号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3F76FE8A5541465A86397187714C5D80_13</vt:lpwstr>
  </property>
  <property fmtid="{D5CDD505-2E9C-101B-9397-08002B2CF9AE}" pid="4" name="KSOTemplateDocerSaveRecord">
    <vt:lpwstr>eyJoZGlkIjoiMjg1MTkyOTQwZDEzOTFiYjZiZmI4OGExMzcyYmNhOTgiLCJ1c2VySWQiOiIxNzM4MzY0MTE4In0=</vt:lpwstr>
  </property>
</Properties>
</file>