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w:t>
      </w:r>
      <w:r>
        <w:rPr>
          <w:rFonts w:hint="eastAsia" w:ascii="Times New Roman" w:hAnsi="Times New Roman" w:eastAsia="宋体" w:cs="Times New Roman"/>
          <w:b/>
          <w:bCs/>
          <w:sz w:val="36"/>
          <w:szCs w:val="40"/>
          <w:lang w:eastAsia="zh-CN"/>
        </w:rPr>
        <w:t>微观经济学与宏观经济学</w:t>
      </w:r>
      <w:r>
        <w:rPr>
          <w:rFonts w:ascii="Times New Roman" w:hAnsi="Times New Roman" w:eastAsia="宋体" w:cs="Times New Roman"/>
          <w:b/>
          <w:bCs/>
          <w:sz w:val="36"/>
          <w:szCs w:val="40"/>
        </w:rPr>
        <w:t>》考试大纲</w:t>
      </w:r>
    </w:p>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（2020版）</w:t>
      </w:r>
    </w:p>
    <w:p>
      <w:pPr>
        <w:jc w:val="center"/>
        <w:rPr>
          <w:rFonts w:ascii="Times New Roman" w:hAnsi="Times New Roman" w:eastAsia="宋体" w:cs="Times New Roman"/>
          <w:b/>
          <w:bCs/>
          <w:sz w:val="36"/>
          <w:szCs w:val="40"/>
        </w:rPr>
      </w:pP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pPr>
        <w:ind w:firstLine="560" w:firstLineChars="200"/>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rPr>
        <w:t>《微观经济学</w:t>
      </w:r>
      <w:r>
        <w:rPr>
          <w:rFonts w:hint="eastAsia" w:ascii="Times New Roman" w:hAnsi="Times New Roman" w:eastAsia="宋体" w:cs="Times New Roman"/>
          <w:sz w:val="28"/>
          <w:szCs w:val="32"/>
          <w:lang w:eastAsia="zh-CN"/>
        </w:rPr>
        <w:t>与宏观经济学</w:t>
      </w:r>
      <w:r>
        <w:rPr>
          <w:rFonts w:hint="eastAsia" w:ascii="Times New Roman" w:hAnsi="Times New Roman" w:eastAsia="宋体" w:cs="Times New Roman"/>
          <w:sz w:val="28"/>
          <w:szCs w:val="32"/>
        </w:rPr>
        <w:t>》</w:t>
      </w:r>
      <w:r>
        <w:rPr>
          <w:rFonts w:hint="eastAsia" w:ascii="Times New Roman" w:hAnsi="Times New Roman" w:eastAsia="宋体" w:cs="Times New Roman"/>
          <w:sz w:val="28"/>
          <w:szCs w:val="32"/>
          <w:lang w:eastAsia="zh-CN"/>
        </w:rPr>
        <w:t>考试内容涵盖微观经济学、宏观经济学</w:t>
      </w:r>
      <w:r>
        <w:rPr>
          <w:rFonts w:hint="eastAsia" w:ascii="Times New Roman" w:hAnsi="Times New Roman" w:eastAsia="宋体" w:cs="Times New Roman"/>
          <w:sz w:val="28"/>
          <w:szCs w:val="32"/>
          <w:lang w:val="en-US" w:eastAsia="zh-CN"/>
        </w:rPr>
        <w:t>2门课程。</w:t>
      </w:r>
    </w:p>
    <w:p>
      <w:pPr>
        <w:ind w:firstLine="560" w:firstLineChars="200"/>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（一）微观经济学</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lang w:eastAsia="zh-CN"/>
        </w:rPr>
        <w:t>微观经济学</w:t>
      </w:r>
      <w:r>
        <w:rPr>
          <w:rFonts w:ascii="Times New Roman" w:hAnsi="Times New Roman" w:eastAsia="宋体" w:cs="Times New Roman"/>
          <w:sz w:val="28"/>
          <w:szCs w:val="32"/>
        </w:rPr>
        <w:t>的相关专业素质和基本能力。具体包括：</w:t>
      </w:r>
    </w:p>
    <w:p>
      <w:pPr>
        <w:numPr>
          <w:ilvl w:val="0"/>
          <w:numId w:val="0"/>
        </w:numPr>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1.</w:t>
      </w:r>
      <w:r>
        <w:rPr>
          <w:rFonts w:hint="eastAsia" w:ascii="Times New Roman" w:hAnsi="Times New Roman" w:eastAsia="宋体" w:cs="Times New Roman"/>
          <w:sz w:val="28"/>
          <w:szCs w:val="32"/>
        </w:rPr>
        <w:t>利用市场规律</w:t>
      </w:r>
      <w:r>
        <w:rPr>
          <w:rFonts w:hint="eastAsia" w:ascii="Times New Roman" w:hAnsi="Times New Roman" w:eastAsia="宋体" w:cs="Times New Roman"/>
          <w:sz w:val="28"/>
          <w:szCs w:val="32"/>
          <w:lang w:eastAsia="zh-CN"/>
        </w:rPr>
        <w:t>分析</w:t>
      </w:r>
      <w:r>
        <w:rPr>
          <w:rFonts w:hint="eastAsia" w:ascii="Times New Roman" w:hAnsi="Times New Roman" w:eastAsia="宋体" w:cs="Times New Roman"/>
          <w:sz w:val="28"/>
          <w:szCs w:val="32"/>
        </w:rPr>
        <w:t>现实经济问题的素质</w:t>
      </w:r>
      <w:r>
        <w:rPr>
          <w:rFonts w:hint="eastAsia" w:ascii="Times New Roman" w:hAnsi="Times New Roman" w:eastAsia="宋体" w:cs="Times New Roman"/>
          <w:sz w:val="28"/>
          <w:szCs w:val="32"/>
          <w:lang w:eastAsia="zh-CN"/>
        </w:rPr>
        <w:t>。</w:t>
      </w:r>
    </w:p>
    <w:p>
      <w:pPr>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2.</w:t>
      </w:r>
      <w:r>
        <w:rPr>
          <w:rFonts w:ascii="Times New Roman" w:hAnsi="Times New Roman" w:eastAsia="宋体" w:cs="Times New Roman"/>
          <w:sz w:val="28"/>
          <w:szCs w:val="32"/>
        </w:rPr>
        <w:t>运用</w:t>
      </w:r>
      <w:r>
        <w:rPr>
          <w:rFonts w:hint="eastAsia" w:ascii="Times New Roman" w:hAnsi="Times New Roman" w:eastAsia="宋体" w:cs="Times New Roman"/>
          <w:sz w:val="28"/>
          <w:szCs w:val="32"/>
        </w:rPr>
        <w:t>简单的数学模型和图示工具分析经济理论和经济现象的能力</w:t>
      </w:r>
      <w:r>
        <w:rPr>
          <w:rFonts w:hint="eastAsia" w:ascii="Times New Roman" w:hAnsi="Times New Roman" w:eastAsia="宋体" w:cs="Times New Roman"/>
          <w:sz w:val="28"/>
          <w:szCs w:val="32"/>
          <w:lang w:eastAsia="zh-CN"/>
        </w:rPr>
        <w:t>。</w:t>
      </w:r>
    </w:p>
    <w:p>
      <w:pPr>
        <w:ind w:firstLine="560" w:firstLineChars="200"/>
        <w:rPr>
          <w:rFonts w:hint="eastAsia"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lang w:eastAsia="zh-CN"/>
        </w:rPr>
        <w:t>预判</w:t>
      </w:r>
      <w:r>
        <w:rPr>
          <w:rFonts w:hint="eastAsia" w:ascii="Times New Roman" w:hAnsi="Times New Roman" w:eastAsia="宋体" w:cs="Times New Roman"/>
          <w:sz w:val="28"/>
          <w:szCs w:val="32"/>
        </w:rPr>
        <w:t>经济政策的现实影响的能力。</w:t>
      </w:r>
    </w:p>
    <w:p>
      <w:pPr>
        <w:ind w:firstLine="435"/>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（二）宏观经济学</w:t>
      </w:r>
    </w:p>
    <w:p>
      <w:pPr>
        <w:ind w:firstLine="435"/>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要求考生能够掌握宏观经济学的相关专业素质和基本能力。具体包括：</w:t>
      </w:r>
    </w:p>
    <w:p>
      <w:pPr>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1.</w:t>
      </w:r>
      <w:r>
        <w:rPr>
          <w:rFonts w:hint="eastAsia" w:ascii="Times New Roman" w:hAnsi="Times New Roman" w:eastAsia="宋体" w:cs="Times New Roman"/>
          <w:sz w:val="28"/>
          <w:szCs w:val="32"/>
          <w:lang w:eastAsia="zh-CN"/>
        </w:rPr>
        <w:t>理解宏观经济运行及宏观经济政策的素质。</w:t>
      </w:r>
    </w:p>
    <w:p>
      <w:pPr>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2.</w:t>
      </w:r>
      <w:r>
        <w:rPr>
          <w:rFonts w:hint="eastAsia" w:ascii="Times New Roman" w:hAnsi="Times New Roman" w:eastAsia="宋体" w:cs="Times New Roman"/>
          <w:sz w:val="28"/>
          <w:szCs w:val="32"/>
          <w:lang w:eastAsia="zh-CN"/>
        </w:rPr>
        <w:t>利用现代宏观经济学的理论与方法分析宏观经济现象的能力。</w:t>
      </w:r>
    </w:p>
    <w:p>
      <w:pPr>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3.</w:t>
      </w:r>
      <w:r>
        <w:rPr>
          <w:rFonts w:hint="eastAsia" w:ascii="Times New Roman" w:hAnsi="Times New Roman" w:eastAsia="宋体" w:cs="Times New Roman"/>
          <w:sz w:val="28"/>
          <w:szCs w:val="32"/>
          <w:lang w:eastAsia="zh-CN"/>
        </w:rPr>
        <w:t xml:space="preserve">预测宏观经济政策及效果的能力。   </w:t>
      </w:r>
      <w:r>
        <w:rPr>
          <w:rFonts w:hint="eastAsia" w:ascii="Times New Roman" w:hAnsi="Times New Roman" w:eastAsia="宋体" w:cs="Times New Roman"/>
          <w:sz w:val="28"/>
          <w:szCs w:val="32"/>
          <w:lang w:eastAsia="zh-CN"/>
        </w:rPr>
        <w:tab/>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lang w:val="en-US" w:eastAsia="zh-CN"/>
        </w:rPr>
        <w:t>150</w:t>
      </w:r>
      <w:r>
        <w:rPr>
          <w:rFonts w:ascii="Times New Roman" w:hAnsi="Times New Roman" w:eastAsia="宋体" w:cs="Times New Roman"/>
          <w:sz w:val="28"/>
          <w:szCs w:val="32"/>
        </w:rPr>
        <w:t>分，考试时间为</w:t>
      </w:r>
      <w:r>
        <w:rPr>
          <w:rFonts w:hint="eastAsia" w:ascii="Times New Roman" w:hAnsi="Times New Roman" w:eastAsia="宋体" w:cs="Times New Roman"/>
          <w:sz w:val="28"/>
          <w:szCs w:val="32"/>
          <w:lang w:val="en-US" w:eastAsia="zh-CN"/>
        </w:rPr>
        <w:t>180</w:t>
      </w:r>
      <w:r>
        <w:rPr>
          <w:rFonts w:ascii="Times New Roman" w:hAnsi="Times New Roman" w:eastAsia="宋体" w:cs="Times New Roman"/>
          <w:sz w:val="28"/>
          <w:szCs w:val="32"/>
        </w:rPr>
        <w:t>分钟。</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numPr>
          <w:ilvl w:val="0"/>
          <w:numId w:val="1"/>
        </w:num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试卷题型结构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（一）微观经济学（</w:t>
      </w:r>
      <w:r>
        <w:rPr>
          <w:rFonts w:hint="eastAsia" w:ascii="Times New Roman" w:hAnsi="Times New Roman" w:eastAsia="宋体" w:cs="Times New Roman"/>
          <w:sz w:val="28"/>
          <w:szCs w:val="32"/>
          <w:highlight w:val="none"/>
          <w:lang w:val="en-US" w:eastAsia="zh-CN"/>
        </w:rPr>
        <w:t>75分</w:t>
      </w:r>
      <w:r>
        <w:rPr>
          <w:rFonts w:hint="eastAsia" w:ascii="Times New Roman" w:hAnsi="Times New Roman" w:eastAsia="宋体" w:cs="Times New Roman"/>
          <w:sz w:val="28"/>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highlight w:val="none"/>
        </w:rPr>
      </w:pPr>
      <w:r>
        <w:rPr>
          <w:rFonts w:ascii="Times New Roman" w:hAnsi="Times New Roman" w:eastAsia="宋体" w:cs="Times New Roman"/>
          <w:sz w:val="28"/>
          <w:szCs w:val="32"/>
          <w:highlight w:val="none"/>
        </w:rPr>
        <w:t>1.名词解释，共</w:t>
      </w:r>
      <w:r>
        <w:rPr>
          <w:rFonts w:hint="eastAsia" w:ascii="Times New Roman" w:hAnsi="Times New Roman" w:eastAsia="宋体" w:cs="Times New Roman"/>
          <w:sz w:val="28"/>
          <w:szCs w:val="32"/>
          <w:highlight w:val="none"/>
          <w:lang w:val="en-US" w:eastAsia="zh-CN"/>
        </w:rPr>
        <w:t>15</w:t>
      </w:r>
      <w:r>
        <w:rPr>
          <w:rFonts w:ascii="Times New Roman" w:hAnsi="Times New Roman" w:eastAsia="宋体" w:cs="Times New Roman"/>
          <w:sz w:val="28"/>
          <w:szCs w:val="32"/>
          <w:highlight w:val="none"/>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val="en-US" w:eastAsia="zh-CN"/>
        </w:rPr>
      </w:pPr>
      <w:r>
        <w:rPr>
          <w:rFonts w:hint="eastAsia" w:ascii="Times New Roman" w:hAnsi="Times New Roman" w:eastAsia="宋体" w:cs="Times New Roman"/>
          <w:sz w:val="28"/>
          <w:szCs w:val="32"/>
          <w:highlight w:val="none"/>
          <w:lang w:val="en-US" w:eastAsia="zh-CN"/>
        </w:rPr>
        <w:t>2.单项选择，共10分。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highlight w:val="none"/>
        </w:rPr>
      </w:pPr>
      <w:r>
        <w:rPr>
          <w:rFonts w:hint="eastAsia" w:ascii="Times New Roman" w:hAnsi="Times New Roman" w:eastAsia="宋体" w:cs="Times New Roman"/>
          <w:sz w:val="28"/>
          <w:szCs w:val="32"/>
          <w:highlight w:val="none"/>
          <w:lang w:val="en-US" w:eastAsia="zh-CN"/>
        </w:rPr>
        <w:t>3</w:t>
      </w:r>
      <w:r>
        <w:rPr>
          <w:rFonts w:ascii="Times New Roman" w:hAnsi="Times New Roman" w:eastAsia="宋体" w:cs="Times New Roman"/>
          <w:sz w:val="28"/>
          <w:szCs w:val="32"/>
          <w:highlight w:val="none"/>
        </w:rPr>
        <w:t>.简答题，共</w:t>
      </w:r>
      <w:r>
        <w:rPr>
          <w:rFonts w:hint="eastAsia" w:ascii="Times New Roman" w:hAnsi="Times New Roman" w:eastAsia="宋体" w:cs="Times New Roman"/>
          <w:sz w:val="28"/>
          <w:szCs w:val="32"/>
          <w:highlight w:val="none"/>
          <w:lang w:val="en-US" w:eastAsia="zh-CN"/>
        </w:rPr>
        <w:t>35</w:t>
      </w:r>
      <w:r>
        <w:rPr>
          <w:rFonts w:ascii="Times New Roman" w:hAnsi="Times New Roman" w:eastAsia="宋体" w:cs="Times New Roman"/>
          <w:sz w:val="28"/>
          <w:szCs w:val="32"/>
          <w:highlight w:val="none"/>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highlight w:val="none"/>
        </w:rPr>
      </w:pPr>
      <w:r>
        <w:rPr>
          <w:rFonts w:hint="eastAsia" w:ascii="Times New Roman" w:hAnsi="Times New Roman" w:eastAsia="宋体" w:cs="Times New Roman"/>
          <w:sz w:val="28"/>
          <w:szCs w:val="32"/>
          <w:highlight w:val="none"/>
          <w:lang w:val="en-US" w:eastAsia="zh-CN"/>
        </w:rPr>
        <w:t>4</w:t>
      </w:r>
      <w:r>
        <w:rPr>
          <w:rFonts w:ascii="Times New Roman" w:hAnsi="Times New Roman" w:eastAsia="宋体" w:cs="Times New Roman"/>
          <w:sz w:val="28"/>
          <w:szCs w:val="32"/>
          <w:highlight w:val="none"/>
        </w:rPr>
        <w:t>.</w:t>
      </w:r>
      <w:r>
        <w:rPr>
          <w:rFonts w:hint="eastAsia" w:ascii="Times New Roman" w:hAnsi="Times New Roman" w:eastAsia="宋体" w:cs="Times New Roman"/>
          <w:sz w:val="28"/>
          <w:szCs w:val="32"/>
          <w:highlight w:val="none"/>
          <w:lang w:eastAsia="zh-CN"/>
        </w:rPr>
        <w:t>计算</w:t>
      </w:r>
      <w:r>
        <w:rPr>
          <w:rFonts w:ascii="Times New Roman" w:hAnsi="Times New Roman" w:eastAsia="宋体" w:cs="Times New Roman"/>
          <w:sz w:val="28"/>
          <w:szCs w:val="32"/>
          <w:highlight w:val="none"/>
        </w:rPr>
        <w:t>题，共</w:t>
      </w:r>
      <w:r>
        <w:rPr>
          <w:rFonts w:hint="eastAsia" w:ascii="Times New Roman" w:hAnsi="Times New Roman" w:eastAsia="宋体" w:cs="Times New Roman"/>
          <w:sz w:val="28"/>
          <w:szCs w:val="32"/>
          <w:highlight w:val="none"/>
          <w:lang w:val="en-US" w:eastAsia="zh-CN"/>
        </w:rPr>
        <w:t>15</w:t>
      </w:r>
      <w:r>
        <w:rPr>
          <w:rFonts w:ascii="Times New Roman" w:hAnsi="Times New Roman" w:eastAsia="宋体" w:cs="Times New Roman"/>
          <w:sz w:val="28"/>
          <w:szCs w:val="32"/>
          <w:highlight w:val="none"/>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（二）宏观经济学（</w:t>
      </w:r>
      <w:r>
        <w:rPr>
          <w:rFonts w:hint="eastAsia" w:ascii="Times New Roman" w:hAnsi="Times New Roman" w:eastAsia="宋体" w:cs="Times New Roman"/>
          <w:sz w:val="28"/>
          <w:szCs w:val="32"/>
          <w:highlight w:val="none"/>
          <w:lang w:val="en-US" w:eastAsia="zh-CN"/>
        </w:rPr>
        <w:t>75分</w:t>
      </w:r>
      <w:r>
        <w:rPr>
          <w:rFonts w:hint="eastAsia" w:ascii="Times New Roman" w:hAnsi="Times New Roman" w:eastAsia="宋体" w:cs="Times New Roman"/>
          <w:sz w:val="28"/>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1.名词解释，共15分。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2.单项选择，共15分。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3.简答题，共25分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4.计算题，共20分。</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pPr>
        <w:jc w:val="cente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eastAsia="zh-CN"/>
        </w:rPr>
        <w:t>第一部分</w:t>
      </w:r>
      <w:r>
        <w:rPr>
          <w:rFonts w:hint="eastAsia" w:ascii="Times New Roman" w:hAnsi="Times New Roman" w:eastAsia="宋体" w:cs="Times New Roman"/>
          <w:sz w:val="28"/>
          <w:szCs w:val="32"/>
          <w:lang w:val="en-US" w:eastAsia="zh-CN"/>
        </w:rPr>
        <w:t xml:space="preserve"> 微观经济学</w:t>
      </w:r>
    </w:p>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一、导论</w:t>
      </w:r>
    </w:p>
    <w:p>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西方经济学的界定。</w:t>
      </w:r>
    </w:p>
    <w:p>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稀缺性。</w:t>
      </w:r>
    </w:p>
    <w:p>
      <w:pPr>
        <w:numPr>
          <w:ilvl w:val="0"/>
          <w:numId w:val="0"/>
        </w:numPr>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西方经济学的具体研究方法。</w:t>
      </w:r>
    </w:p>
    <w:p>
      <w:pPr>
        <w:numPr>
          <w:ilvl w:val="0"/>
          <w:numId w:val="0"/>
        </w:numPr>
        <w:jc w:val="both"/>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二、需求、供给和均衡价格</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1.需求的概念、需求规律、影响需求量的其它因素、影响需求量的变动和需求的变动、从单个消费者的需求到市场需求。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2.供给的概念、供给规律、影响供给量的其它因素、影响供给量的变动和供给的变动、从单个生产者的供给到市场供给。</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3.均衡的含义、均衡价格和均衡数量、市场均衡的变动。</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4.弹性的概念、需求的价格弹性、其他需求弹性、供给弹性。</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5.支持价格和限制价格、税收效应分析、弹性和收入。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三、消费者选择</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效用和欲望、总效用和边际效用递减规律、效用最大化、消费者的需求曲线、消费者剩余</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偏好和选择、无差异曲线及其特点、边际替代率及其递减规律</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预算约束线的含义、预算约束线的变动</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消费者均衡的决定、收入变动对消费者均衡的影响、价格变动对消费者均衡的影响</w:t>
      </w:r>
      <w:r>
        <w:rPr>
          <w:rFonts w:hint="eastAsia" w:ascii="宋体" w:hAnsi="宋体" w:eastAsia="宋体" w:cs="宋体"/>
          <w:sz w:val="28"/>
          <w:szCs w:val="28"/>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5.替代效应和收入效应的含义、正常品的替代效应和收入效应、低档品的替代效应和收入效应、吉芬商品的替代效应和收入效应、消费者需求曲线的形状。</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四、企业的生产和成本</w:t>
      </w:r>
    </w:p>
    <w:p>
      <w:pP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eastAsia="zh-CN"/>
        </w:rPr>
        <w:t>企业的类型、企业利润最大化目标。</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生产和生产函数、短期和长期、生产函数的例子</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总产量、平均产量和边际产量及其相互之间的关系、边际报酬递减规律、生产的三个阶段</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等产量曲线及其性质、边际技术替代率及其递减规律、等成本线、生产要素最优组合、生产扩展线</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经济学中的成本、短期成本的概念、短期成本曲线及其相互之间的关系</w:t>
      </w:r>
      <w:r>
        <w:rPr>
          <w:rFonts w:hint="eastAsia" w:ascii="宋体" w:hAnsi="宋体" w:eastAsia="宋体" w:cs="宋体"/>
          <w:sz w:val="28"/>
          <w:szCs w:val="28"/>
        </w:rPr>
        <w:t>。</w:t>
      </w:r>
    </w:p>
    <w:p>
      <w:pPr>
        <w:rPr>
          <w:rFonts w:hint="eastAsia" w:ascii="宋体" w:hAnsi="宋体" w:eastAsia="宋体" w:cs="宋体"/>
          <w:sz w:val="28"/>
          <w:szCs w:val="28"/>
          <w:lang w:eastAsia="zh-CN"/>
        </w:rPr>
      </w:pPr>
      <w:r>
        <w:rPr>
          <w:rFonts w:hint="eastAsia" w:ascii="宋体" w:hAnsi="宋体" w:eastAsia="宋体" w:cs="宋体"/>
          <w:sz w:val="28"/>
          <w:szCs w:val="28"/>
        </w:rPr>
        <w:t>6.</w:t>
      </w:r>
      <w:r>
        <w:rPr>
          <w:rFonts w:hint="eastAsia" w:ascii="宋体" w:hAnsi="宋体" w:eastAsia="宋体" w:cs="宋体"/>
          <w:sz w:val="28"/>
          <w:szCs w:val="28"/>
          <w:lang w:eastAsia="zh-CN"/>
        </w:rPr>
        <w:t>长期成本的概念、长期总成本曲线、产品平均成本曲线、规模经济和长期平均成本曲线的形状、长期边际成本曲线。</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五、完全竞争市场</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企业收益和市场结构、划分市场结构的依据、企业利润最大化原则</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完全</w:t>
      </w:r>
      <w:r>
        <w:rPr>
          <w:rFonts w:hint="eastAsia" w:ascii="宋体" w:hAnsi="宋体" w:eastAsia="宋体" w:cs="宋体"/>
          <w:sz w:val="28"/>
          <w:szCs w:val="28"/>
          <w:lang w:val="en-US" w:eastAsia="zh-CN"/>
        </w:rPr>
        <w:t>竞争企业面临的需求曲线、完全竞争企业的收益曲线</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利润最大化产量的决定、利润最大化和盈亏、亏损时的决策、企业和市场的短期供给曲线</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企业规模调整、行业规模调整、长期均衡、长期供给曲线</w:t>
      </w:r>
      <w:r>
        <w:rPr>
          <w:rFonts w:hint="eastAsia" w:ascii="宋体" w:hAnsi="宋体" w:eastAsia="宋体" w:cs="宋体"/>
          <w:sz w:val="28"/>
          <w:szCs w:val="28"/>
        </w:rPr>
        <w:t>。</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六、不完全竞争市场</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垄断的含义及其原因、垄断企业的需求曲线和收益曲线、垄断企业的短期均衡和长期均衡、价格歧视</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垄断竞争的特点、垄断竞争企业的需求曲线和收益曲线、垄断竞争企业的短期均衡和长期均衡</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寡头的含义及其特征、古诺模型、斯威齐模型</w:t>
      </w:r>
      <w:r>
        <w:rPr>
          <w:rFonts w:hint="eastAsia" w:ascii="宋体" w:hAnsi="宋体" w:eastAsia="宋体" w:cs="宋体"/>
          <w:sz w:val="28"/>
          <w:szCs w:val="28"/>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4.不同市场静态效率和动态效率比较。</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七、生产要素市场和收入分配</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完全竞争企业的要素使用原则、完全竞争企业的要素需求曲线、完全竞争市场的要素需求曲线</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要素供给问题、要素供给原则、预算线</w:t>
      </w:r>
      <w:r>
        <w:rPr>
          <w:rFonts w:hint="eastAsia" w:ascii="宋体" w:hAnsi="宋体" w:eastAsia="宋体" w:cs="宋体"/>
          <w:sz w:val="28"/>
          <w:szCs w:val="28"/>
          <w:lang w:val="en-US" w:eastAsia="zh-CN"/>
        </w:rPr>
        <w:t>-无差异曲线分析、要素供给曲线</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劳动供给和闲暇需求、劳动供给均衡、劳动供给曲线、替代效应和收入效应、劳动市场的供求均衡和工资的决定</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土地的供给曲线、使用土地的价格和地租</w:t>
      </w:r>
      <w:r>
        <w:rPr>
          <w:rFonts w:hint="eastAsia" w:ascii="宋体" w:hAnsi="宋体" w:eastAsia="宋体" w:cs="宋体"/>
          <w:sz w:val="28"/>
          <w:szCs w:val="28"/>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5.资本和利息的含义、资本的供给、资本市场的均衡。</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6.产品卖方垄断条件下的要素价格决定、要素买方垄断条件下的要素价格决定。 </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八、一般均衡和效率</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局部均衡和一般均衡的概念</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帕累托最优概念、交换效率、生产效率、交换和生产的帕累托最优条件</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完全竞争市场的一般均衡状态、均衡状态和帕累托最优条件</w:t>
      </w:r>
      <w:r>
        <w:rPr>
          <w:rFonts w:hint="eastAsia" w:ascii="宋体" w:hAnsi="宋体" w:eastAsia="宋体" w:cs="宋体"/>
          <w:sz w:val="28"/>
          <w:szCs w:val="28"/>
        </w:rPr>
        <w:t>。</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九、市场失灵和微观经济政策</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垄断和低效率、寻租活动分析、对垄断的监管</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公共物品和市场失灵、公共资源</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外部性影响及其分类、外部性影响和资源配置低效率、就正外部性影响的政策、外部性影响和环境保护</w:t>
      </w:r>
      <w:r>
        <w:rPr>
          <w:rFonts w:hint="eastAsia" w:ascii="宋体" w:hAnsi="宋体" w:eastAsia="宋体" w:cs="宋体"/>
          <w:sz w:val="28"/>
          <w:szCs w:val="28"/>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4.信息不完全和市场失灵、次品市场和逆向选择、保险市场和道德风险、纠正信息不完全的政策。</w:t>
      </w:r>
    </w:p>
    <w:p>
      <w:pPr>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收入分配不平等的度量、收入再分配、公平和效率</w:t>
      </w:r>
      <w:r>
        <w:rPr>
          <w:rFonts w:hint="eastAsia" w:ascii="宋体" w:hAnsi="宋体" w:eastAsia="宋体" w:cs="宋体"/>
          <w:sz w:val="28"/>
          <w:szCs w:val="28"/>
        </w:rPr>
        <w:t>。</w:t>
      </w:r>
    </w:p>
    <w:p>
      <w:pPr>
        <w:jc w:val="center"/>
        <w:rPr>
          <w:rFonts w:hint="eastAsia" w:ascii="宋体" w:hAnsi="宋体" w:eastAsia="宋体" w:cs="宋体"/>
          <w:sz w:val="28"/>
          <w:szCs w:val="28"/>
          <w:lang w:eastAsia="zh-CN"/>
        </w:rPr>
      </w:pPr>
      <w:r>
        <w:rPr>
          <w:rFonts w:hint="eastAsia" w:ascii="宋体" w:hAnsi="宋体" w:eastAsia="宋体" w:cs="宋体"/>
          <w:sz w:val="28"/>
          <w:szCs w:val="28"/>
        </w:rPr>
        <w:t>第</w:t>
      </w:r>
      <w:r>
        <w:rPr>
          <w:rFonts w:hint="eastAsia" w:ascii="宋体" w:hAnsi="宋体" w:eastAsia="宋体" w:cs="宋体"/>
          <w:sz w:val="28"/>
          <w:szCs w:val="28"/>
          <w:lang w:eastAsia="zh-CN"/>
        </w:rPr>
        <w:t>二</w:t>
      </w:r>
      <w:r>
        <w:rPr>
          <w:rFonts w:hint="eastAsia" w:ascii="宋体" w:hAnsi="宋体" w:eastAsia="宋体" w:cs="宋体"/>
          <w:sz w:val="28"/>
          <w:szCs w:val="28"/>
        </w:rPr>
        <w:t xml:space="preserve">部分 </w:t>
      </w:r>
      <w:r>
        <w:rPr>
          <w:rFonts w:hint="eastAsia" w:ascii="宋体" w:hAnsi="宋体" w:eastAsia="宋体" w:cs="宋体"/>
          <w:sz w:val="28"/>
          <w:szCs w:val="28"/>
          <w:lang w:eastAsia="zh-CN"/>
        </w:rPr>
        <w:t>宏观经济学</w:t>
      </w:r>
    </w:p>
    <w:p>
      <w:pPr>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宏观经济总量及其衡量</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 xml:space="preserve">国民经济核算的基本指标及其原理。 </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国民收入循环关系。</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物价和就业水平衡量。</w:t>
      </w:r>
    </w:p>
    <w:p>
      <w:pPr>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简单凯恩斯模型</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 xml:space="preserve">消费、储蓄、投资等宏观经济变量与国民收入之间的互动关系。 </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简单凯恩斯模型的原理及国民收入的决定。</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国民收入变动中乘数原理及作用机制。</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简单凯恩斯模型向三部门经济的扩展。</w:t>
      </w:r>
    </w:p>
    <w:p>
      <w:pPr>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宏观经济均衡分析的几何方法和代数方法。</w:t>
      </w:r>
    </w:p>
    <w:p>
      <w:pPr>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IS-LM模型</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投资函数的构建、金融市场对实物投资的决定关系。</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产品市场和货币市场各自实现均衡时形成IS和LM曲线的条件及机理。</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两大市场同时均衡条件下均衡利率和均衡国民收入的原理及变动机理。</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非均衡状态下市场自我调整规律。</w:t>
      </w:r>
    </w:p>
    <w:p>
      <w:pPr>
        <w:rPr>
          <w:rFonts w:hint="eastAsia" w:ascii="宋体" w:hAnsi="宋体" w:eastAsia="宋体" w:cs="宋体"/>
          <w:sz w:val="28"/>
          <w:szCs w:val="28"/>
        </w:rPr>
      </w:pPr>
      <w:r>
        <w:rPr>
          <w:rFonts w:hint="eastAsia" w:ascii="宋体" w:hAnsi="宋体" w:eastAsia="宋体" w:cs="宋体"/>
          <w:sz w:val="28"/>
          <w:szCs w:val="28"/>
          <w:lang w:eastAsia="zh-CN"/>
        </w:rPr>
        <w:t>四、</w:t>
      </w:r>
      <w:r>
        <w:rPr>
          <w:rFonts w:hint="eastAsia" w:ascii="宋体" w:hAnsi="宋体" w:eastAsia="宋体" w:cs="宋体"/>
          <w:sz w:val="28"/>
          <w:szCs w:val="28"/>
        </w:rPr>
        <w:t>宏观经济政策</w:t>
      </w:r>
    </w:p>
    <w:p>
      <w:pPr>
        <w:rPr>
          <w:rFonts w:hint="eastAsia" w:ascii="宋体" w:hAnsi="宋体" w:eastAsia="宋体" w:cs="宋体"/>
          <w:sz w:val="28"/>
          <w:szCs w:val="28"/>
        </w:rPr>
      </w:pPr>
      <w:r>
        <w:rPr>
          <w:rFonts w:hint="eastAsia" w:ascii="宋体" w:hAnsi="宋体" w:eastAsia="宋体" w:cs="宋体"/>
          <w:sz w:val="28"/>
          <w:szCs w:val="28"/>
        </w:rPr>
        <w:t xml:space="preserve">1、财政政策和货币政策的目标取向、实施工具及作用原则。 </w:t>
      </w:r>
    </w:p>
    <w:p>
      <w:pPr>
        <w:rPr>
          <w:rFonts w:hint="eastAsia" w:ascii="宋体" w:hAnsi="宋体" w:eastAsia="宋体" w:cs="宋体"/>
          <w:sz w:val="28"/>
          <w:szCs w:val="28"/>
        </w:rPr>
      </w:pPr>
      <w:r>
        <w:rPr>
          <w:rFonts w:hint="eastAsia" w:ascii="宋体" w:hAnsi="宋体" w:eastAsia="宋体" w:cs="宋体"/>
          <w:sz w:val="28"/>
          <w:szCs w:val="28"/>
        </w:rPr>
        <w:t>2、财政政策对产品市场、货币政策对货币市场均衡的影响。</w:t>
      </w:r>
    </w:p>
    <w:p>
      <w:pPr>
        <w:rPr>
          <w:rFonts w:hint="eastAsia" w:ascii="宋体" w:hAnsi="宋体" w:eastAsia="宋体" w:cs="宋体"/>
          <w:sz w:val="28"/>
          <w:szCs w:val="28"/>
        </w:rPr>
      </w:pPr>
      <w:r>
        <w:rPr>
          <w:rFonts w:hint="eastAsia" w:ascii="宋体" w:hAnsi="宋体" w:eastAsia="宋体" w:cs="宋体"/>
          <w:sz w:val="28"/>
          <w:szCs w:val="28"/>
        </w:rPr>
        <w:t>3、运用IS-LM模型分析宏观需求管理政策。</w:t>
      </w:r>
    </w:p>
    <w:p>
      <w:pPr>
        <w:rPr>
          <w:rFonts w:hint="eastAsia"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总需求总供给模型</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物价与总需求反向变动的三种效应。</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 xml:space="preserve">总需求曲线的推导过程及其变化方式。 </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总供给曲线的形成过程、不同形状及其经济学含义。</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AD－AS模型</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总供给的三种状态及宏观政策的不同效果</w:t>
      </w:r>
    </w:p>
    <w:p>
      <w:pPr>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失业与通货膨胀理论</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失业及就业的关系，失业的几种类型。</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通货膨胀的概念及其经济学内涵。</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理解通货膨胀的类型及其产生的原因。</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通货膨胀与失业之间的关系及宏观政策的选择。</w:t>
      </w:r>
    </w:p>
    <w:p>
      <w:pPr>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通货膨胀动态变化的机制。</w:t>
      </w:r>
    </w:p>
    <w:p>
      <w:pPr>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经济周期理论</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宏观经济短期波动的表现形式及周期波动特征。</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经济周期的概念、分类和原因。</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乘数-加速数模型。</w:t>
      </w:r>
    </w:p>
    <w:p>
      <w:pPr>
        <w:rPr>
          <w:rFonts w:hint="eastAsia" w:ascii="宋体" w:hAnsi="宋体" w:eastAsia="宋体" w:cs="宋体"/>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经济增长理论</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经济增长理论和模型的发展历程。</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经济增长因素。</w:t>
      </w:r>
    </w:p>
    <w:p>
      <w:pPr>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哈罗德-多马模型。</w:t>
      </w:r>
    </w:p>
    <w:p>
      <w:pPr>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新古典经济增长模型。</w:t>
      </w:r>
    </w:p>
    <w:p>
      <w:pPr>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经济增长政策</w:t>
      </w:r>
    </w:p>
    <w:p>
      <w:pPr>
        <w:spacing w:before="156" w:beforeLines="50" w:after="156" w:afterLines="50"/>
        <w:jc w:val="center"/>
        <w:rPr>
          <w:rFonts w:ascii="Times New Roman" w:hAnsi="Times New Roman" w:eastAsia="宋体" w:cs="Times New Roman"/>
          <w:b/>
          <w:bCs/>
          <w:sz w:val="28"/>
          <w:szCs w:val="32"/>
        </w:rPr>
      </w:pPr>
      <w:r>
        <w:rPr>
          <w:rFonts w:hint="eastAsia" w:ascii="Times New Roman" w:hAnsi="Times New Roman" w:eastAsia="宋体" w:cs="Times New Roman"/>
          <w:b/>
          <w:bCs/>
          <w:sz w:val="28"/>
          <w:szCs w:val="32"/>
          <w:lang w:val="en-US" w:eastAsia="zh-CN"/>
        </w:rPr>
        <w:t>IV</w:t>
      </w:r>
      <w:r>
        <w:rPr>
          <w:rFonts w:ascii="Times New Roman" w:hAnsi="Times New Roman" w:eastAsia="宋体" w:cs="Times New Roman"/>
          <w:b/>
          <w:bCs/>
          <w:sz w:val="28"/>
          <w:szCs w:val="32"/>
        </w:rPr>
        <w:t>.参考书目</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1.《西方经济学》编写组编《西方经济学（上册）》，高等教育出版社，2012</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2.《西方经济学》编写组编《西方经济学（下册）》，高等教育出版社，2012</w:t>
      </w:r>
    </w:p>
    <w:p>
      <w:pPr>
        <w:rPr>
          <w:rFonts w:hint="eastAsia" w:ascii="宋体" w:hAnsi="宋体" w:eastAsia="宋体" w:cs="宋体"/>
          <w:sz w:val="28"/>
          <w:szCs w:val="28"/>
          <w:lang w:val="en-US" w:eastAsia="zh-CN"/>
        </w:rPr>
      </w:pPr>
    </w:p>
    <w:p>
      <w:pPr>
        <w:rPr>
          <w:rFonts w:ascii="Times New Roman" w:hAnsi="Times New Roman" w:eastAsia="宋体" w:cs="Times New Roman"/>
          <w:sz w:val="28"/>
          <w:szCs w:val="32"/>
        </w:rPr>
      </w:pPr>
    </w:p>
    <w:p>
      <w:pPr>
        <w:rPr>
          <w:rFonts w:ascii="Times New Roman" w:hAnsi="Times New Roman" w:eastAsia="宋体" w:cs="Times New Roman"/>
          <w:sz w:val="28"/>
          <w:szCs w:val="32"/>
        </w:rPr>
      </w:pPr>
    </w:p>
    <w:p>
      <w:pPr>
        <w:rPr>
          <w:rFonts w:ascii="Times New Roman" w:hAnsi="Times New Roman" w:eastAsia="宋体" w:cs="Times New Roman"/>
          <w:color w:val="FF0000"/>
          <w:sz w:val="28"/>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843EF"/>
    <w:multiLevelType w:val="singleLevel"/>
    <w:tmpl w:val="932843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92"/>
    <w:rsid w:val="001755ED"/>
    <w:rsid w:val="0026432B"/>
    <w:rsid w:val="00337D59"/>
    <w:rsid w:val="00552800"/>
    <w:rsid w:val="007A7A20"/>
    <w:rsid w:val="00894F10"/>
    <w:rsid w:val="00987D92"/>
    <w:rsid w:val="00FF0714"/>
    <w:rsid w:val="1FC717AE"/>
    <w:rsid w:val="2BD13772"/>
    <w:rsid w:val="4C70447E"/>
    <w:rsid w:val="60E33972"/>
    <w:rsid w:val="701F1B8E"/>
    <w:rsid w:val="7358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Words>
  <Characters>578</Characters>
  <Lines>4</Lines>
  <Paragraphs>1</Paragraphs>
  <TotalTime>2</TotalTime>
  <ScaleCrop>false</ScaleCrop>
  <LinksUpToDate>false</LinksUpToDate>
  <CharactersWithSpaces>678</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紫薇花开</cp:lastModifiedBy>
  <dcterms:modified xsi:type="dcterms:W3CDTF">2020-08-28T09:58:07Z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