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西北农林科技大学硕士研究生招生考试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《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  <w:lang w:eastAsia="zh-CN"/>
        </w:rPr>
        <w:t>管理学原理与微观经济学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》考试大纲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（2020版）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Ⅰ.考查目标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《管理学原理与微观经济学》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考试内容涵盖管理学原理、微观经济学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2门课程。</w:t>
      </w:r>
    </w:p>
    <w:p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（一）管理学原理</w:t>
      </w:r>
    </w:p>
    <w:p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要求考生能够掌握管理工作的相关专业素质和基本能力。具体包括：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1.要求考生掌握管理的基本概念、管理工作的基本过程和管理者的基本技能；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2.要求考生掌握管理学发展历史及其主要理论；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3.要求考生掌握管理各基本职能的主要内容、理论、观点和方法；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4.要求考生能够运用管理学的基本思想、理论知识和方法分析和解决管理问题。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（二）微观经济学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要求考生能够掌握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微观经济学</w:t>
      </w:r>
      <w:r>
        <w:rPr>
          <w:rFonts w:ascii="Times New Roman" w:hAnsi="Times New Roman" w:eastAsia="宋体" w:cs="Times New Roman"/>
          <w:sz w:val="28"/>
          <w:szCs w:val="32"/>
        </w:rPr>
        <w:t>的相关专业素质和基本能力。具体包括：</w:t>
      </w:r>
    </w:p>
    <w:p>
      <w:pPr>
        <w:numPr>
          <w:ilvl w:val="0"/>
          <w:numId w:val="1"/>
        </w:numPr>
        <w:ind w:firstLine="435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利用市场规律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分析</w:t>
      </w:r>
      <w:r>
        <w:rPr>
          <w:rFonts w:hint="eastAsia" w:ascii="Times New Roman" w:hAnsi="Times New Roman" w:eastAsia="宋体" w:cs="Times New Roman"/>
          <w:sz w:val="28"/>
          <w:szCs w:val="32"/>
        </w:rPr>
        <w:t>现实经济问题的素质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。</w:t>
      </w:r>
    </w:p>
    <w:p>
      <w:pPr>
        <w:ind w:firstLine="435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 xml:space="preserve">2. </w:t>
      </w:r>
      <w:r>
        <w:rPr>
          <w:rFonts w:ascii="Times New Roman" w:hAnsi="Times New Roman" w:eastAsia="宋体" w:cs="Times New Roman"/>
          <w:sz w:val="28"/>
          <w:szCs w:val="32"/>
        </w:rPr>
        <w:t>运用</w:t>
      </w:r>
      <w:r>
        <w:rPr>
          <w:rFonts w:hint="eastAsia" w:ascii="Times New Roman" w:hAnsi="Times New Roman" w:eastAsia="宋体" w:cs="Times New Roman"/>
          <w:sz w:val="28"/>
          <w:szCs w:val="32"/>
        </w:rPr>
        <w:t>简单的数学模型和图示工具分析经济理论和经济现象的能力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。</w:t>
      </w:r>
    </w:p>
    <w:p>
      <w:pPr>
        <w:ind w:firstLine="435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预判</w:t>
      </w:r>
      <w:r>
        <w:rPr>
          <w:rFonts w:hint="eastAsia" w:ascii="Times New Roman" w:hAnsi="Times New Roman" w:eastAsia="宋体" w:cs="Times New Roman"/>
          <w:sz w:val="28"/>
          <w:szCs w:val="32"/>
        </w:rPr>
        <w:t>经济政策的现实影响的能力。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Ⅱ.考试形式和试卷结构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一、试卷满分及考试时间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150</w:t>
      </w:r>
      <w:r>
        <w:rPr>
          <w:rFonts w:ascii="Times New Roman" w:hAnsi="Times New Roman" w:eastAsia="宋体" w:cs="Times New Roman"/>
          <w:sz w:val="28"/>
          <w:szCs w:val="32"/>
        </w:rPr>
        <w:t>分，考试时间为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180</w:t>
      </w:r>
      <w:r>
        <w:rPr>
          <w:rFonts w:ascii="Times New Roman" w:hAnsi="Times New Roman" w:eastAsia="宋体" w:cs="Times New Roman"/>
          <w:sz w:val="28"/>
          <w:szCs w:val="32"/>
        </w:rPr>
        <w:t>分钟。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二、答题方式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答题方式为闭卷、笔试。</w:t>
      </w:r>
    </w:p>
    <w:p>
      <w:pPr>
        <w:numPr>
          <w:ilvl w:val="0"/>
          <w:numId w:val="2"/>
        </w:num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试卷题型结构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管理学原理（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75分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1.名词解释，共15分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2.选择题，共15分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3.简答题，共20分。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4.论述题，共10分。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5.案例分析题，共15分。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highlight w:val="none"/>
          <w:lang w:eastAsia="zh-CN"/>
        </w:rPr>
        <w:t>（二）微观经济学（</w:t>
      </w:r>
      <w:r>
        <w:rPr>
          <w:rFonts w:hint="eastAsia" w:ascii="Times New Roman" w:hAnsi="Times New Roman" w:eastAsia="宋体" w:cs="Times New Roman"/>
          <w:sz w:val="28"/>
          <w:szCs w:val="32"/>
          <w:highlight w:val="none"/>
          <w:lang w:val="en-US" w:eastAsia="zh-CN"/>
        </w:rPr>
        <w:t>75分</w:t>
      </w:r>
      <w:r>
        <w:rPr>
          <w:rFonts w:hint="eastAsia" w:ascii="Times New Roman" w:hAnsi="Times New Roman" w:eastAsia="宋体" w:cs="Times New Roman"/>
          <w:sz w:val="28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  <w:highlight w:val="none"/>
        </w:rPr>
      </w:pPr>
      <w:r>
        <w:rPr>
          <w:rFonts w:ascii="Times New Roman" w:hAnsi="Times New Roman" w:eastAsia="宋体" w:cs="Times New Roman"/>
          <w:sz w:val="28"/>
          <w:szCs w:val="32"/>
          <w:highlight w:val="none"/>
        </w:rPr>
        <w:t>1.名词解释，共</w:t>
      </w:r>
      <w:r>
        <w:rPr>
          <w:rFonts w:hint="eastAsia" w:ascii="Times New Roman" w:hAnsi="Times New Roman" w:eastAsia="宋体" w:cs="Times New Roman"/>
          <w:sz w:val="28"/>
          <w:szCs w:val="32"/>
          <w:highlight w:val="none"/>
          <w:lang w:val="en-US" w:eastAsia="zh-CN"/>
        </w:rPr>
        <w:t>15</w:t>
      </w:r>
      <w:r>
        <w:rPr>
          <w:rFonts w:ascii="Times New Roman" w:hAnsi="Times New Roman" w:eastAsia="宋体" w:cs="Times New Roman"/>
          <w:sz w:val="28"/>
          <w:szCs w:val="32"/>
          <w:highlight w:val="none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highlight w:val="none"/>
          <w:lang w:val="en-US" w:eastAsia="zh-CN"/>
        </w:rPr>
        <w:t>2.单项选择，共10分。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8"/>
          <w:szCs w:val="32"/>
          <w:highlight w:val="none"/>
        </w:rPr>
        <w:t>.简答题，共</w:t>
      </w:r>
      <w:r>
        <w:rPr>
          <w:rFonts w:hint="eastAsia" w:ascii="Times New Roman" w:hAnsi="Times New Roman" w:eastAsia="宋体" w:cs="Times New Roman"/>
          <w:sz w:val="28"/>
          <w:szCs w:val="32"/>
          <w:highlight w:val="none"/>
          <w:lang w:val="en-US" w:eastAsia="zh-CN"/>
        </w:rPr>
        <w:t>35</w:t>
      </w:r>
      <w:r>
        <w:rPr>
          <w:rFonts w:ascii="Times New Roman" w:hAnsi="Times New Roman" w:eastAsia="宋体" w:cs="Times New Roman"/>
          <w:sz w:val="28"/>
          <w:szCs w:val="32"/>
          <w:highlight w:val="none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8"/>
          <w:szCs w:val="32"/>
          <w:highlight w:val="none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  <w:highlight w:val="none"/>
          <w:lang w:eastAsia="zh-CN"/>
        </w:rPr>
        <w:t>计算</w:t>
      </w:r>
      <w:r>
        <w:rPr>
          <w:rFonts w:ascii="Times New Roman" w:hAnsi="Times New Roman" w:eastAsia="宋体" w:cs="Times New Roman"/>
          <w:sz w:val="28"/>
          <w:szCs w:val="32"/>
          <w:highlight w:val="none"/>
        </w:rPr>
        <w:t>题，共</w:t>
      </w:r>
      <w:r>
        <w:rPr>
          <w:rFonts w:hint="eastAsia" w:ascii="Times New Roman" w:hAnsi="Times New Roman" w:eastAsia="宋体" w:cs="Times New Roman"/>
          <w:sz w:val="28"/>
          <w:szCs w:val="32"/>
          <w:highlight w:val="none"/>
          <w:lang w:val="en-US" w:eastAsia="zh-CN"/>
        </w:rPr>
        <w:t>15</w:t>
      </w:r>
      <w:r>
        <w:rPr>
          <w:rFonts w:ascii="Times New Roman" w:hAnsi="Times New Roman" w:eastAsia="宋体" w:cs="Times New Roman"/>
          <w:sz w:val="28"/>
          <w:szCs w:val="32"/>
          <w:highlight w:val="none"/>
        </w:rPr>
        <w:t>分。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Ⅲ.考查内容</w:t>
      </w:r>
    </w:p>
    <w:p>
      <w:pPr>
        <w:jc w:val="center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 xml:space="preserve"> 第一部分 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管理学原理</w:t>
      </w:r>
    </w:p>
    <w:p>
      <w:pPr>
        <w:jc w:val="both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一、</w:t>
      </w:r>
      <w:r>
        <w:rPr>
          <w:rFonts w:hint="eastAsia" w:ascii="Times New Roman" w:hAnsi="Times New Roman" w:eastAsia="宋体" w:cs="Times New Roman"/>
          <w:sz w:val="28"/>
          <w:szCs w:val="32"/>
        </w:rPr>
        <w:t>管理学导论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1.管理的含义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2.管理者及其技能与角色；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3.管理的职能；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4.管理的特征；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5.管理的性质（本质）与特点；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6.管理的基本原理与方法。</w:t>
      </w:r>
    </w:p>
    <w:p>
      <w:pPr>
        <w:jc w:val="both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二、</w:t>
      </w:r>
      <w:r>
        <w:rPr>
          <w:rFonts w:hint="eastAsia" w:ascii="Times New Roman" w:hAnsi="Times New Roman" w:eastAsia="宋体" w:cs="Times New Roman"/>
          <w:sz w:val="28"/>
          <w:szCs w:val="32"/>
        </w:rPr>
        <w:t>管理理论的历史演变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1.古典管理理论（科学管理理论、一般管理理论、科层组织理论）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2.行为科学理论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3.现代管理流派</w:t>
      </w:r>
    </w:p>
    <w:p>
      <w:pPr>
        <w:jc w:val="both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三、</w:t>
      </w:r>
      <w:r>
        <w:rPr>
          <w:rFonts w:hint="eastAsia" w:ascii="Times New Roman" w:hAnsi="Times New Roman" w:eastAsia="宋体" w:cs="Times New Roman"/>
          <w:sz w:val="28"/>
          <w:szCs w:val="32"/>
        </w:rPr>
        <w:t>决策</w:t>
      </w:r>
    </w:p>
    <w:p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决策的含义、类型与条件</w:t>
      </w:r>
    </w:p>
    <w:p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管理者的决策</w:t>
      </w:r>
    </w:p>
    <w:p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决策的过程及影响因素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4.不同决策条件下的决策方法</w:t>
      </w:r>
    </w:p>
    <w:p>
      <w:pPr>
        <w:jc w:val="both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四、</w:t>
      </w:r>
      <w:r>
        <w:rPr>
          <w:rFonts w:hint="eastAsia" w:ascii="Times New Roman" w:hAnsi="Times New Roman" w:eastAsia="宋体" w:cs="Times New Roman"/>
          <w:sz w:val="28"/>
          <w:szCs w:val="32"/>
        </w:rPr>
        <w:t xml:space="preserve">计划 </w:t>
      </w:r>
    </w:p>
    <w:p>
      <w:pPr>
        <w:numPr>
          <w:ilvl w:val="0"/>
          <w:numId w:val="5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计划的含义和原因</w:t>
      </w:r>
    </w:p>
    <w:p>
      <w:pPr>
        <w:numPr>
          <w:ilvl w:val="0"/>
          <w:numId w:val="5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目标和方案</w:t>
      </w:r>
    </w:p>
    <w:p>
      <w:pPr>
        <w:numPr>
          <w:ilvl w:val="0"/>
          <w:numId w:val="5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设定目标和制定方案</w:t>
      </w:r>
    </w:p>
    <w:p>
      <w:pPr>
        <w:numPr>
          <w:ilvl w:val="0"/>
          <w:numId w:val="5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当代的一些计划问题</w:t>
      </w:r>
    </w:p>
    <w:p>
      <w:pPr>
        <w:numPr>
          <w:ilvl w:val="0"/>
          <w:numId w:val="5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常用的计划技术或方法</w:t>
      </w:r>
    </w:p>
    <w:p>
      <w:pPr>
        <w:jc w:val="both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五、</w:t>
      </w:r>
      <w:r>
        <w:rPr>
          <w:rFonts w:hint="eastAsia" w:ascii="Times New Roman" w:hAnsi="Times New Roman" w:eastAsia="宋体" w:cs="Times New Roman"/>
          <w:sz w:val="28"/>
          <w:szCs w:val="32"/>
        </w:rPr>
        <w:t>组织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1.组织与组织结构的含义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2.组织结构设计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3.组织结构设计的影响因素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8"/>
          <w:szCs w:val="32"/>
        </w:rPr>
        <w:t>.组织设计的原则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32"/>
        </w:rPr>
        <w:t>.组织结构的类型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8"/>
          <w:szCs w:val="32"/>
        </w:rPr>
        <w:t>.适应性组织结构设计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8"/>
          <w:szCs w:val="32"/>
        </w:rPr>
        <w:t>.人员配备</w:t>
      </w:r>
    </w:p>
    <w:p>
      <w:pPr>
        <w:jc w:val="both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六、</w:t>
      </w:r>
      <w:r>
        <w:rPr>
          <w:rFonts w:hint="eastAsia" w:ascii="Times New Roman" w:hAnsi="Times New Roman" w:eastAsia="宋体" w:cs="Times New Roman"/>
          <w:sz w:val="28"/>
          <w:szCs w:val="32"/>
        </w:rPr>
        <w:t>领导</w:t>
      </w:r>
    </w:p>
    <w:p>
      <w:pPr>
        <w:numPr>
          <w:ilvl w:val="0"/>
          <w:numId w:val="6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领导的含义</w:t>
      </w:r>
    </w:p>
    <w:p>
      <w:pPr>
        <w:numPr>
          <w:ilvl w:val="0"/>
          <w:numId w:val="6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领导的权力来源</w:t>
      </w:r>
    </w:p>
    <w:p>
      <w:pPr>
        <w:numPr>
          <w:ilvl w:val="0"/>
          <w:numId w:val="6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 xml:space="preserve">领导理论 </w:t>
      </w:r>
    </w:p>
    <w:p>
      <w:pPr>
        <w:numPr>
          <w:ilvl w:val="0"/>
          <w:numId w:val="6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沟通的含义、过程与类型</w:t>
      </w:r>
    </w:p>
    <w:p>
      <w:pPr>
        <w:numPr>
          <w:ilvl w:val="0"/>
          <w:numId w:val="6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沟通障碍及其克服</w:t>
      </w:r>
    </w:p>
    <w:p>
      <w:pPr>
        <w:numPr>
          <w:ilvl w:val="0"/>
          <w:numId w:val="6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激励的含义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7.激励理论与方法</w:t>
      </w:r>
    </w:p>
    <w:p>
      <w:pPr>
        <w:jc w:val="both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七、</w:t>
      </w:r>
      <w:r>
        <w:rPr>
          <w:rFonts w:hint="eastAsia" w:ascii="Times New Roman" w:hAnsi="Times New Roman" w:eastAsia="宋体" w:cs="Times New Roman"/>
          <w:sz w:val="28"/>
          <w:szCs w:val="32"/>
        </w:rPr>
        <w:t>控制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1.控制的基本要素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2.控制类型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3.控制的过程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4.制定控制标准的过程和方法</w:t>
      </w:r>
    </w:p>
    <w:p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5.有效控制的原则</w:t>
      </w:r>
    </w:p>
    <w:p>
      <w:pPr>
        <w:jc w:val="center"/>
        <w:rPr>
          <w:rFonts w:hint="default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第二部分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 xml:space="preserve"> 微观经济学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一、导论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西方经济学的界定。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稀缺性。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西方经济学的具体研究方法。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二、需求、供给和均衡价格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1.需求的概念、需求规律、影响需求量的其它因素、影响需求量的变动和需求的变动、从单个消费者的需求到市场需求。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2.供给的概念、供给规律、影响供给量的其它因素、影响供给量的变动和供给的变动、从单个生产者的供给到市场供给。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3.均衡的含义、均衡价格和均衡数量、市场均衡的变动。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4.弹性的概念、需求的价格弹性、其他需求弹性、供给弹性。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5.支持价格和限制价格、税收效应分析、弹性和收入。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三、消费者选择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效用和欲望、总效用和边际效用递减规律、效用最大化、消费者的需求曲线、消费者剩余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偏好和选择、无差异曲线及其特点、边际替代率及其递减规律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预算约束线的含义、预算约束线的变动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消费者均衡的决定、收入变动对消费者均衡的影响、价格变动对消费者均衡的影响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5.替代效应和收入效应的含义、正常品的替代效应和收入效应、低档品的替代效应和收入效应、吉芬商品的替代效应和收入效应、消费者需求曲线的形状。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四、企业的生产和成本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企业的类型、企业利润最大化目标。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生产和生产函数、短期和长期、生产函数的例子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总产量、平均产量和边际产量及其相互之间的关系、边际报酬递减规律、生产的三个阶段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等产量曲线及其性质、边际技术替代率及其递减规律、等成本线、生产要素最优组合、生产扩展线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经济学中的成本、短期成本的概念、短期成本曲线及其相互之间的关系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6.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长期成本的概念、长期总成本曲线、产品平均成本曲线、规模经济和长期平均成本曲线的形状、长期边际成本曲线。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五、完全竞争市场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企业收益和市场结构、划分市场结构的依据、企业利润最大化原则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完全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竞争企业面临的需求曲线、完全竞争企业的收益曲线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利润最大化产量的决定、利润最大化和盈亏、亏损时的决策、企业和市场的短期供给曲线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企业规模调整、行业规模调整、长期均衡、长期供给曲线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六、不完全竞争市场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垄断的含义及其原因、垄断企业的需求曲线和收益曲线、垄断企业的短期均衡和长期均衡、价格歧视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垄断竞争的特点、垄断竞争企业的需求曲线和收益曲线、垄断竞争企业的短期均衡和长期均衡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寡头的含义及其特征、古诺模型、斯威齐模型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4.不同市场静态效率和动态效率比较。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七、生产要素市场和收入分配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完全竞争企业的要素使用原则、完全竞争企业的要素需求曲线、完全竞争市场的要素需求曲线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要素供给问题、要素供给原则、预算线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-无差异曲线分析、要素供给曲线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劳动供给和闲暇需求、劳动供给均衡、劳动供给曲线、替代效应和收入效应、劳动市场的供求均衡和工资的决定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土地的供给曲线、使用土地的价格和地租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5.资本和利息的含义、资本的供给、资本市场的均衡。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6.产品卖方垄断条件下的要素价格决定、要素买方垄断条件下的要素价格决定。 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八、一般均衡和效率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局部均衡和一般均衡的概念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帕累托最优概念、交换效率、生产效率、交换和生产的帕累托最优条件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完全竞争市场的一般均衡状态、均衡状态和帕累托最优条件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九、市场失灵和微观经济政策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垄断和低效率、寻租活动分析、对垄断的监管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公共物品和市场失灵、公共资源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外部性影响及其分类、外部性影响和资源配置低效率、就正外部性影响的政策、外部性影响和环境保护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4.信息不完全和市场失灵、次品市场和逆向选择、保险市场和道德风险、纠正信息不完全的政策。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收入分配不平等的度量、收入再分配、公平和效率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  <w:t>IV</w:t>
      </w:r>
      <w:r>
        <w:rPr>
          <w:rFonts w:ascii="Times New Roman" w:hAnsi="Times New Roman" w:eastAsia="宋体" w:cs="Times New Roman"/>
          <w:b/>
          <w:bCs/>
          <w:sz w:val="28"/>
          <w:szCs w:val="32"/>
        </w:rPr>
        <w:t>.参考书目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1.斯蒂芬·P ·罗宾斯.管理学第13版［M］.中国人民大学出版社，2017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2.《管理学》编写组，管理学（马克思主义理论研究和建设工程重点教材）［M］.高等教育出版社，2019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3.《西方经济学》编写组编《西方经济学（上册）》，高等教育出版社，2012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</w:p>
    <w:p>
      <w:pPr>
        <w:rPr>
          <w:rFonts w:ascii="Times New Roman" w:hAnsi="Times New Roman" w:eastAsia="宋体" w:cs="Times New Roman"/>
          <w:sz w:val="28"/>
          <w:szCs w:val="32"/>
        </w:rPr>
      </w:pPr>
    </w:p>
    <w:p>
      <w:pPr>
        <w:rPr>
          <w:rFonts w:ascii="Times New Roman" w:hAnsi="Times New Roman" w:eastAsia="宋体" w:cs="Times New Roman"/>
          <w:color w:val="FF0000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2843EF"/>
    <w:multiLevelType w:val="singleLevel"/>
    <w:tmpl w:val="932843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500D7D"/>
    <w:multiLevelType w:val="singleLevel"/>
    <w:tmpl w:val="EE500D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F476D36"/>
    <w:multiLevelType w:val="singleLevel"/>
    <w:tmpl w:val="5F476D36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F476E8A"/>
    <w:multiLevelType w:val="singleLevel"/>
    <w:tmpl w:val="5F476E8A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F477156"/>
    <w:multiLevelType w:val="singleLevel"/>
    <w:tmpl w:val="5F477156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7C4DFEDB"/>
    <w:multiLevelType w:val="singleLevel"/>
    <w:tmpl w:val="7C4DFEDB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92"/>
    <w:rsid w:val="001755ED"/>
    <w:rsid w:val="0026432B"/>
    <w:rsid w:val="00337D59"/>
    <w:rsid w:val="00552800"/>
    <w:rsid w:val="007A7A20"/>
    <w:rsid w:val="00894F10"/>
    <w:rsid w:val="00987D92"/>
    <w:rsid w:val="00FF0714"/>
    <w:rsid w:val="1FC717AE"/>
    <w:rsid w:val="2E6C4A9A"/>
    <w:rsid w:val="4C70447E"/>
    <w:rsid w:val="60E33972"/>
    <w:rsid w:val="701F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</Words>
  <Characters>578</Characters>
  <Lines>4</Lines>
  <Paragraphs>1</Paragraphs>
  <TotalTime>13</TotalTime>
  <ScaleCrop>false</ScaleCrop>
  <LinksUpToDate>false</LinksUpToDate>
  <CharactersWithSpaces>678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紫薇花开</cp:lastModifiedBy>
  <dcterms:modified xsi:type="dcterms:W3CDTF">2020-08-28T10:03:49Z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