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42D76">
      <w:pPr>
        <w:keepNext w:val="0"/>
        <w:keepLines w:val="0"/>
        <w:pageBreakBefore w:val="0"/>
        <w:wordWrap w:val="0"/>
        <w:overflowPunct/>
        <w:topLinePunct w:val="0"/>
        <w:autoSpaceDE w:val="0"/>
        <w:autoSpaceDN w:val="0"/>
        <w:bidi w:val="0"/>
        <w:spacing w:after="120" w:line="560" w:lineRule="exact"/>
        <w:jc w:val="center"/>
        <w:rPr>
          <w:rFonts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pacing w:val="1"/>
          <w:w w:val="95"/>
          <w:kern w:val="0"/>
          <w:sz w:val="44"/>
          <w:szCs w:val="44"/>
          <w:highlight w:val="none"/>
          <w:fitText w:val="8800" w:id="1979715984"/>
        </w:rPr>
        <w:t>经济管理学院本科生综合素质能力测评实施细</w:t>
      </w:r>
      <w:r>
        <w:rPr>
          <w:rFonts w:hint="eastAsia" w:ascii="方正小标宋简体" w:hAnsi="方正小标宋简体" w:eastAsia="方正小标宋简体" w:cs="方正小标宋简体"/>
          <w:color w:val="000000"/>
          <w:spacing w:val="13"/>
          <w:w w:val="95"/>
          <w:kern w:val="0"/>
          <w:sz w:val="44"/>
          <w:szCs w:val="44"/>
          <w:highlight w:val="none"/>
          <w:fitText w:val="8800" w:id="1979715984"/>
        </w:rPr>
        <w:t>则</w:t>
      </w:r>
    </w:p>
    <w:p w14:paraId="4670E97B">
      <w:pPr>
        <w:keepNext w:val="0"/>
        <w:keepLines w:val="0"/>
        <w:pageBreakBefore w:val="0"/>
        <w:wordWrap w:val="0"/>
        <w:overflowPunct/>
        <w:topLinePunct w:val="0"/>
        <w:autoSpaceDE w:val="0"/>
        <w:autoSpaceDN w:val="0"/>
        <w:bidi w:val="0"/>
        <w:spacing w:after="120" w:line="560" w:lineRule="exact"/>
        <w:jc w:val="center"/>
        <w:rPr>
          <w:rFonts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（2025级</w:t>
      </w:r>
      <w:r>
        <w:rPr>
          <w:rFonts w:hint="eastAsia" w:ascii="方正小标宋简体" w:hAnsi="方正小标宋简体" w:eastAsia="方正小标宋简体" w:cs="方正小标宋简体"/>
          <w:color w:val="000000"/>
          <w:sz w:val="44"/>
          <w:szCs w:val="44"/>
          <w:highlight w:val="none"/>
          <w:lang w:val="en-US" w:eastAsia="zh-CN"/>
        </w:rPr>
        <w:t>及以后适用</w:t>
      </w:r>
      <w:r>
        <w:rPr>
          <w:rFonts w:hint="eastAsia" w:ascii="方正小标宋简体" w:hAnsi="方正小标宋简体" w:eastAsia="方正小标宋简体" w:cs="方正小标宋简体"/>
          <w:color w:val="000000"/>
          <w:sz w:val="44"/>
          <w:szCs w:val="44"/>
          <w:highlight w:val="none"/>
        </w:rPr>
        <w:t>）</w:t>
      </w:r>
    </w:p>
    <w:p w14:paraId="7FEF92DA">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ascii="黑体" w:hAnsi="黑体" w:eastAsia="黑体" w:cs="Times New Roman"/>
          <w:sz w:val="32"/>
          <w:szCs w:val="32"/>
          <w:highlight w:val="none"/>
        </w:rPr>
      </w:pPr>
      <w:r>
        <w:rPr>
          <w:rFonts w:hint="eastAsia" w:ascii="黑体" w:hAnsi="黑体" w:eastAsia="黑体" w:cs="Times New Roman"/>
          <w:sz w:val="32"/>
          <w:szCs w:val="32"/>
          <w:highlight w:val="none"/>
        </w:rPr>
        <w:t>第一章 总则</w:t>
      </w:r>
    </w:p>
    <w:p w14:paraId="6DB331D6">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color w:val="000000"/>
          <w:sz w:val="32"/>
          <w:szCs w:val="32"/>
          <w:highlight w:val="none"/>
        </w:rPr>
      </w:pPr>
      <w:r>
        <w:rPr>
          <w:rFonts w:hint="eastAsia" w:ascii="仿宋" w:hAnsi="仿宋" w:eastAsia="仿宋"/>
          <w:color w:val="000000"/>
          <w:sz w:val="32"/>
          <w:szCs w:val="32"/>
          <w:highlight w:val="none"/>
        </w:rPr>
        <w:t>为全面贯彻党的教育方针，落实立德树人根本任务，</w:t>
      </w:r>
      <w:r>
        <w:rPr>
          <w:rFonts w:hint="eastAsia" w:ascii="仿宋" w:hAnsi="仿宋" w:eastAsia="仿宋" w:cs="仿宋"/>
          <w:color w:val="000000"/>
          <w:sz w:val="32"/>
          <w:szCs w:val="32"/>
          <w:highlight w:val="none"/>
        </w:rPr>
        <w:t>发挥</w:t>
      </w:r>
      <w:bookmarkStart w:id="2" w:name="_GoBack"/>
      <w:bookmarkEnd w:id="2"/>
      <w:r>
        <w:rPr>
          <w:rFonts w:hint="eastAsia" w:ascii="仿宋" w:hAnsi="仿宋" w:eastAsia="仿宋" w:cs="仿宋"/>
          <w:color w:val="000000"/>
          <w:sz w:val="32"/>
          <w:szCs w:val="32"/>
          <w:highlight w:val="none"/>
        </w:rPr>
        <w:t>评价</w:t>
      </w:r>
      <w:r>
        <w:rPr>
          <w:rFonts w:hint="eastAsia" w:ascii="仿宋" w:hAnsi="仿宋" w:eastAsia="仿宋" w:cs="仿宋"/>
          <w:color w:val="000000"/>
          <w:sz w:val="32"/>
          <w:szCs w:val="32"/>
          <w:highlight w:val="none"/>
          <w:lang w:val="en-US" w:eastAsia="zh-CN"/>
        </w:rPr>
        <w:t>体系</w:t>
      </w:r>
      <w:r>
        <w:rPr>
          <w:rFonts w:hint="eastAsia" w:ascii="仿宋" w:hAnsi="仿宋" w:eastAsia="仿宋" w:cs="仿宋"/>
          <w:color w:val="000000"/>
          <w:sz w:val="32"/>
          <w:szCs w:val="32"/>
          <w:highlight w:val="none"/>
        </w:rPr>
        <w:t>在大学生成长过程中的导向和激励作用，促进学生成长为德智体美劳全面发展的卓越农林人才，根据</w:t>
      </w:r>
      <w:r>
        <w:rPr>
          <w:rFonts w:hint="eastAsia" w:ascii="仿宋" w:hAnsi="仿宋" w:eastAsia="仿宋" w:cs="仿宋"/>
          <w:sz w:val="32"/>
          <w:szCs w:val="32"/>
          <w:highlight w:val="none"/>
        </w:rPr>
        <w:t>《西北农林科技大学本科生综合素质能力测评实施办法》</w:t>
      </w:r>
      <w:r>
        <w:rPr>
          <w:rFonts w:hint="eastAsia" w:ascii="仿宋" w:hAnsi="仿宋" w:eastAsia="仿宋" w:cs="仿宋"/>
          <w:b/>
          <w:bCs/>
          <w:sz w:val="32"/>
          <w:szCs w:val="32"/>
          <w:highlight w:val="none"/>
        </w:rPr>
        <w:t>（校党发</w:t>
      </w:r>
      <w:r>
        <w:rPr>
          <w:rFonts w:hint="eastAsia" w:ascii="仿宋" w:hAnsi="仿宋" w:eastAsia="仿宋"/>
          <w:b/>
          <w:bCs/>
          <w:sz w:val="32"/>
          <w:shd w:val="clear" w:color="auto" w:fill="FFFFFF"/>
        </w:rPr>
        <w:t>〔</w:t>
      </w:r>
      <w:r>
        <w:rPr>
          <w:rFonts w:hint="eastAsia" w:ascii="仿宋" w:hAnsi="仿宋" w:eastAsia="仿宋" w:cs="仿宋"/>
          <w:b/>
          <w:bCs/>
          <w:sz w:val="32"/>
          <w:szCs w:val="32"/>
          <w:highlight w:val="none"/>
        </w:rPr>
        <w:t>2025</w:t>
      </w:r>
      <w:r>
        <w:rPr>
          <w:rFonts w:hint="eastAsia" w:ascii="仿宋" w:hAnsi="仿宋" w:eastAsia="仿宋"/>
          <w:b/>
          <w:bCs/>
          <w:sz w:val="32"/>
          <w:shd w:val="clear" w:color="auto" w:fill="FFFFFF"/>
        </w:rPr>
        <w:t>〕</w:t>
      </w:r>
      <w:r>
        <w:rPr>
          <w:rFonts w:hint="eastAsia" w:ascii="仿宋" w:hAnsi="仿宋" w:eastAsia="仿宋" w:cs="仿宋"/>
          <w:b/>
          <w:bCs/>
          <w:sz w:val="32"/>
          <w:szCs w:val="32"/>
          <w:highlight w:val="none"/>
        </w:rPr>
        <w:t>16号）</w:t>
      </w:r>
      <w:r>
        <w:rPr>
          <w:rFonts w:hint="eastAsia" w:ascii="仿宋" w:hAnsi="仿宋" w:eastAsia="仿宋" w:cs="仿宋"/>
          <w:sz w:val="32"/>
          <w:szCs w:val="32"/>
          <w:highlight w:val="none"/>
        </w:rPr>
        <w:t>等相关文件精神</w:t>
      </w:r>
      <w:r>
        <w:rPr>
          <w:rFonts w:hint="eastAsia" w:ascii="仿宋" w:hAnsi="仿宋" w:eastAsia="仿宋" w:cs="仿宋"/>
          <w:color w:val="000000"/>
          <w:sz w:val="32"/>
          <w:szCs w:val="32"/>
          <w:highlight w:val="none"/>
        </w:rPr>
        <w:t>，结合学院实际，制定本细则。</w:t>
      </w:r>
    </w:p>
    <w:p w14:paraId="74BD8EE0">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第一条</w:t>
      </w:r>
      <w:r>
        <w:rPr>
          <w:rFonts w:hint="eastAsia" w:ascii="仿宋" w:hAnsi="仿宋" w:eastAsia="仿宋" w:cs="仿宋"/>
          <w:color w:val="000000"/>
          <w:sz w:val="32"/>
          <w:szCs w:val="32"/>
          <w:highlight w:val="none"/>
        </w:rPr>
        <w:t xml:space="preserve"> 学校本科生综合素质能力测评工作坚持以习近平新时代中国特色社会主义思想为指导，深入落实习近平总书记关于教育的重要论述，全面贯彻党的教育方针，牢牢把握立德树人根本任务，紧密围绕学校“知农爱农、强农兴农”的人才培养定位，坚持以学生全面发展为中心，系统构建服务国家战略、体现时代要求、具有西农特色的综合素质能力评价体系，努力培养堪当民族复兴大任的卓越农林人才。</w:t>
      </w:r>
    </w:p>
    <w:p w14:paraId="39DCF170">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宋体" w:hAnsi="宋体" w:eastAsia="宋体"/>
          <w:color w:val="000000"/>
          <w:sz w:val="34"/>
          <w:highlight w:val="none"/>
        </w:rPr>
      </w:pPr>
      <w:r>
        <w:rPr>
          <w:rFonts w:hint="eastAsia" w:ascii="仿宋" w:hAnsi="仿宋" w:eastAsia="仿宋" w:cs="仿宋"/>
          <w:b/>
          <w:bCs/>
          <w:color w:val="000000"/>
          <w:kern w:val="2"/>
          <w:sz w:val="32"/>
          <w:szCs w:val="32"/>
          <w:highlight w:val="none"/>
        </w:rPr>
        <w:t>第二条</w:t>
      </w:r>
      <w:r>
        <w:rPr>
          <w:rFonts w:hint="eastAsia" w:ascii="仿宋" w:hAnsi="仿宋" w:eastAsia="仿宋" w:cs="仿宋"/>
          <w:color w:val="000000"/>
          <w:sz w:val="32"/>
          <w:szCs w:val="32"/>
          <w:highlight w:val="none"/>
        </w:rPr>
        <w:t xml:space="preserve"> 坚持促进学生全面发展与彰显学校办学特色相结合，坚持遵循教育规律与学生成长成才规律，坚持定性与定量、评议与纪实、过程与结果相结合，构建以“品德修养”为魂、“专业学习”为本、“素质发展”为基、“能力拓展”为翼的“四维协同”“五育融合”的综合素质能力评价格局，强化价值引领，明确成长导向，突出发展高线，着力提升学生核心素养与综合竞争力。</w:t>
      </w:r>
    </w:p>
    <w:p w14:paraId="3A48E98D">
      <w:pPr>
        <w:pStyle w:val="2"/>
        <w:keepNext w:val="0"/>
        <w:keepLines w:val="0"/>
        <w:pageBreakBefore w:val="0"/>
        <w:widowControl w:val="0"/>
        <w:numPr>
          <w:ilvl w:val="0"/>
          <w:numId w:val="0"/>
        </w:numPr>
        <w:kinsoku/>
        <w:overflowPunct/>
        <w:topLinePunct w:val="0"/>
        <w:bidi w:val="0"/>
        <w:adjustRightInd/>
        <w:snapToGrid/>
        <w:spacing w:after="120" w:line="560" w:lineRule="exact"/>
        <w:ind w:firstLine="643" w:firstLineChars="200"/>
        <w:textAlignment w:val="auto"/>
        <w:rPr>
          <w:highlight w:val="none"/>
        </w:rPr>
      </w:pPr>
      <w:r>
        <w:rPr>
          <w:rFonts w:hint="eastAsia" w:ascii="仿宋" w:hAnsi="仿宋" w:eastAsia="仿宋" w:cs="仿宋"/>
          <w:b/>
          <w:bCs/>
          <w:color w:val="000000"/>
          <w:kern w:val="2"/>
          <w:sz w:val="32"/>
          <w:szCs w:val="32"/>
          <w:highlight w:val="none"/>
          <w:lang w:val="en-US" w:eastAsia="zh-CN" w:bidi="ar-SA"/>
        </w:rPr>
        <w:t>第三条</w:t>
      </w:r>
      <w:r>
        <w:rPr>
          <w:rFonts w:hint="eastAsia" w:ascii="仿宋" w:hAnsi="仿宋"/>
          <w:bCs/>
          <w:color w:val="000000"/>
          <w:highlight w:val="none"/>
        </w:rPr>
        <w:t xml:space="preserve"> 本科生综合素质能力测评（以下简称“综合素质能力测评”）</w:t>
      </w:r>
      <w:r>
        <w:rPr>
          <w:rFonts w:hint="eastAsia" w:ascii="仿宋" w:hAnsi="仿宋"/>
          <w:color w:val="000000"/>
          <w:highlight w:val="none"/>
        </w:rPr>
        <w:t>按照“</w:t>
      </w:r>
      <w:r>
        <w:rPr>
          <w:rFonts w:hint="eastAsia" w:ascii="仿宋" w:hAnsi="仿宋"/>
          <w:bCs/>
          <w:color w:val="000000"/>
          <w:highlight w:val="none"/>
        </w:rPr>
        <w:t>定性与定量相结合，评议与记实相结合</w:t>
      </w:r>
      <w:r>
        <w:rPr>
          <w:rFonts w:hint="eastAsia" w:ascii="仿宋" w:hAnsi="仿宋"/>
          <w:color w:val="000000"/>
          <w:highlight w:val="none"/>
        </w:rPr>
        <w:t>”的原则，</w:t>
      </w:r>
      <w:r>
        <w:rPr>
          <w:rFonts w:hint="eastAsia" w:ascii="仿宋" w:hAnsi="仿宋"/>
          <w:bCs/>
          <w:color w:val="000000"/>
          <w:highlight w:val="none"/>
        </w:rPr>
        <w:t>对学生日常行为表现进行综合评定。</w:t>
      </w:r>
    </w:p>
    <w:p w14:paraId="26F27B29">
      <w:pPr>
        <w:keepNext w:val="0"/>
        <w:keepLines w:val="0"/>
        <w:pageBreakBefore w:val="0"/>
        <w:widowControl w:val="0"/>
        <w:kinsoku/>
        <w:overflowPunct/>
        <w:topLinePunct w:val="0"/>
        <w:bidi w:val="0"/>
        <w:adjustRightInd/>
        <w:snapToGrid/>
        <w:spacing w:after="120" w:line="560" w:lineRule="exact"/>
        <w:ind w:firstLine="643" w:firstLineChars="200"/>
        <w:textAlignment w:val="auto"/>
        <w:rPr>
          <w:rFonts w:ascii="仿宋" w:hAnsi="仿宋" w:eastAsia="仿宋" w:cs="Times New Roman"/>
          <w:sz w:val="32"/>
          <w:szCs w:val="32"/>
          <w:highlight w:val="none"/>
        </w:rPr>
      </w:pPr>
      <w:r>
        <w:rPr>
          <w:rFonts w:hint="eastAsia" w:ascii="仿宋" w:hAnsi="仿宋" w:eastAsia="仿宋" w:cs="仿宋"/>
          <w:b/>
          <w:bCs/>
          <w:color w:val="000000"/>
          <w:kern w:val="2"/>
          <w:sz w:val="32"/>
          <w:szCs w:val="32"/>
          <w:highlight w:val="none"/>
        </w:rPr>
        <w:t>第四条</w:t>
      </w:r>
      <w:r>
        <w:rPr>
          <w:rFonts w:hint="eastAsia" w:ascii="仿宋" w:hAnsi="仿宋" w:eastAsia="仿宋" w:cs="Times New Roman"/>
          <w:b/>
          <w:sz w:val="32"/>
          <w:szCs w:val="32"/>
          <w:highlight w:val="none"/>
        </w:rPr>
        <w:t xml:space="preserve"> </w:t>
      </w:r>
      <w:r>
        <w:rPr>
          <w:rFonts w:hint="eastAsia" w:ascii="仿宋" w:hAnsi="仿宋" w:eastAsia="仿宋" w:cs="Times New Roman"/>
          <w:sz w:val="32"/>
          <w:szCs w:val="32"/>
          <w:highlight w:val="none"/>
        </w:rPr>
        <w:t>本细则适用于我校在籍在读的全日制普通本科生，包括学校派出的访学学生、第二学士学位学生。</w:t>
      </w:r>
    </w:p>
    <w:p w14:paraId="55F5A583">
      <w:pPr>
        <w:keepNext w:val="0"/>
        <w:keepLines w:val="0"/>
        <w:pageBreakBefore w:val="0"/>
        <w:widowControl w:val="0"/>
        <w:kinsoku/>
        <w:overflowPunct/>
        <w:topLinePunct w:val="0"/>
        <w:bidi w:val="0"/>
        <w:adjustRightInd/>
        <w:snapToGrid/>
        <w:spacing w:after="120" w:line="560" w:lineRule="exact"/>
        <w:ind w:firstLine="643" w:firstLineChars="200"/>
        <w:textAlignment w:val="auto"/>
        <w:rPr>
          <w:rFonts w:ascii="仿宋" w:hAnsi="仿宋"/>
          <w:bCs/>
          <w:color w:val="000000"/>
          <w:highlight w:val="none"/>
        </w:rPr>
      </w:pPr>
      <w:r>
        <w:rPr>
          <w:rFonts w:hint="eastAsia" w:ascii="仿宋" w:hAnsi="仿宋" w:eastAsia="仿宋" w:cs="仿宋"/>
          <w:b/>
          <w:bCs/>
          <w:color w:val="000000"/>
          <w:kern w:val="2"/>
          <w:sz w:val="32"/>
          <w:szCs w:val="32"/>
          <w:highlight w:val="none"/>
        </w:rPr>
        <w:t>第五条</w:t>
      </w:r>
      <w:r>
        <w:rPr>
          <w:rFonts w:hint="eastAsia" w:ascii="仿宋" w:hAnsi="仿宋" w:eastAsia="仿宋" w:cs="Times New Roman"/>
          <w:b/>
          <w:sz w:val="32"/>
          <w:szCs w:val="32"/>
          <w:highlight w:val="none"/>
        </w:rPr>
        <w:t xml:space="preserve"> </w:t>
      </w:r>
      <w:r>
        <w:rPr>
          <w:rFonts w:hint="eastAsia" w:ascii="仿宋" w:hAnsi="仿宋" w:eastAsia="仿宋" w:cs="Times New Roman"/>
          <w:sz w:val="32"/>
          <w:szCs w:val="32"/>
          <w:highlight w:val="none"/>
        </w:rPr>
        <w:t>学校派出的访学学生在访学结束前，由学生所在访学单位鉴定该生在访学期间思想政治、品德修养、有无奖惩等方面的表现，并出具综合鉴定意见和访学期间参加活动记录的书面材料。学生回校参加综合素质能力测评时，由各学院领导小组进行认定。</w:t>
      </w:r>
    </w:p>
    <w:p w14:paraId="7D22409C">
      <w:pPr>
        <w:pStyle w:val="2"/>
        <w:keepNext w:val="0"/>
        <w:keepLines w:val="0"/>
        <w:pageBreakBefore w:val="0"/>
        <w:widowControl w:val="0"/>
        <w:numPr>
          <w:ilvl w:val="0"/>
          <w:numId w:val="0"/>
        </w:numPr>
        <w:kinsoku/>
        <w:overflowPunct/>
        <w:topLinePunct w:val="0"/>
        <w:bidi w:val="0"/>
        <w:adjustRightInd/>
        <w:snapToGrid/>
        <w:spacing w:after="120" w:line="560" w:lineRule="exact"/>
        <w:ind w:firstLine="643" w:firstLineChars="200"/>
        <w:textAlignment w:val="auto"/>
        <w:rPr>
          <w:rFonts w:ascii="仿宋" w:hAnsi="仿宋"/>
          <w:bCs/>
          <w:color w:val="000000"/>
          <w:highlight w:val="none"/>
        </w:rPr>
      </w:pPr>
      <w:r>
        <w:rPr>
          <w:rFonts w:hint="eastAsia" w:ascii="仿宋" w:hAnsi="仿宋" w:eastAsia="仿宋" w:cs="仿宋"/>
          <w:b/>
          <w:bCs/>
          <w:color w:val="000000"/>
          <w:kern w:val="2"/>
          <w:sz w:val="32"/>
          <w:szCs w:val="32"/>
          <w:highlight w:val="none"/>
          <w:lang w:val="en-US" w:eastAsia="zh-CN" w:bidi="ar-SA"/>
        </w:rPr>
        <w:t>第六条</w:t>
      </w:r>
      <w:r>
        <w:rPr>
          <w:rFonts w:hint="eastAsia" w:ascii="仿宋" w:hAnsi="仿宋"/>
          <w:bCs/>
          <w:color w:val="000000"/>
          <w:highlight w:val="none"/>
        </w:rPr>
        <w:t xml:space="preserve"> 综合素质能力测评成绩在各类评奖评优、推荐免试攻读研究生及优秀毕业生评选等工作中综合使用。</w:t>
      </w:r>
    </w:p>
    <w:p w14:paraId="6CDF2313">
      <w:pPr>
        <w:pStyle w:val="2"/>
        <w:keepNext w:val="0"/>
        <w:keepLines w:val="0"/>
        <w:pageBreakBefore w:val="0"/>
        <w:widowControl w:val="0"/>
        <w:numPr>
          <w:ilvl w:val="0"/>
          <w:numId w:val="0"/>
        </w:numPr>
        <w:kinsoku/>
        <w:overflowPunct/>
        <w:topLinePunct w:val="0"/>
        <w:bidi w:val="0"/>
        <w:adjustRightInd/>
        <w:snapToGrid/>
        <w:spacing w:after="120" w:line="560" w:lineRule="exact"/>
        <w:ind w:firstLine="643" w:firstLineChars="200"/>
        <w:textAlignment w:val="auto"/>
        <w:rPr>
          <w:rFonts w:ascii="仿宋" w:hAnsi="仿宋"/>
          <w:bCs/>
          <w:color w:val="000000"/>
          <w:highlight w:val="none"/>
        </w:rPr>
      </w:pPr>
      <w:r>
        <w:rPr>
          <w:rFonts w:hint="eastAsia" w:ascii="仿宋" w:hAnsi="仿宋" w:eastAsia="仿宋" w:cs="仿宋"/>
          <w:b/>
          <w:bCs/>
          <w:color w:val="000000"/>
          <w:kern w:val="2"/>
          <w:sz w:val="32"/>
          <w:szCs w:val="32"/>
          <w:highlight w:val="none"/>
          <w:lang w:val="en-US" w:eastAsia="zh-CN" w:bidi="ar-SA"/>
        </w:rPr>
        <w:t>第七条</w:t>
      </w:r>
      <w:r>
        <w:rPr>
          <w:rFonts w:hint="eastAsia" w:ascii="仿宋" w:hAnsi="仿宋"/>
          <w:bCs/>
          <w:color w:val="000000"/>
          <w:highlight w:val="none"/>
        </w:rPr>
        <w:t xml:space="preserve"> 凡在籍在读的全日制普通本科生（包括学校派出的访学学生）均应进行综合素质能力测评。综合素质能力测评每学年进行一次，一般于新学年开学后一个月内完成。复学学生测评成绩以测评日前累计在校时间一年计。</w:t>
      </w:r>
    </w:p>
    <w:p w14:paraId="7FD5285C">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第二章 组织领导</w:t>
      </w:r>
    </w:p>
    <w:p w14:paraId="72E9DF8F">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outlineLvl w:val="0"/>
        <w:rPr>
          <w:rFonts w:ascii="仿宋" w:hAnsi="仿宋" w:eastAsia="仿宋" w:cs="Times New Roman"/>
          <w:color w:val="000000"/>
          <w:kern w:val="2"/>
          <w:sz w:val="32"/>
          <w:szCs w:val="32"/>
          <w:highlight w:val="none"/>
        </w:rPr>
      </w:pPr>
      <w:r>
        <w:rPr>
          <w:rFonts w:hint="eastAsia" w:ascii="仿宋" w:hAnsi="仿宋" w:eastAsia="仿宋" w:cs="仿宋"/>
          <w:b/>
          <w:bCs/>
          <w:color w:val="000000"/>
          <w:kern w:val="2"/>
          <w:sz w:val="32"/>
          <w:szCs w:val="32"/>
          <w:highlight w:val="none"/>
        </w:rPr>
        <w:t>第八条</w:t>
      </w:r>
      <w:r>
        <w:rPr>
          <w:rFonts w:hint="eastAsia" w:ascii="仿宋" w:hAnsi="仿宋" w:eastAsia="仿宋" w:cs="Times New Roman"/>
          <w:b/>
          <w:color w:val="000000"/>
          <w:kern w:val="2"/>
          <w:sz w:val="32"/>
          <w:szCs w:val="32"/>
          <w:highlight w:val="none"/>
        </w:rPr>
        <w:t xml:space="preserve"> </w:t>
      </w:r>
      <w:r>
        <w:rPr>
          <w:rFonts w:hint="eastAsia" w:ascii="仿宋" w:hAnsi="仿宋" w:eastAsia="仿宋" w:cs="Times New Roman"/>
          <w:color w:val="000000"/>
          <w:kern w:val="2"/>
          <w:sz w:val="32"/>
          <w:szCs w:val="32"/>
          <w:highlight w:val="none"/>
        </w:rPr>
        <w:t>学院成立学生综合素质能力测评领导小组（以下简称“领导小组”），成员由主管学生工作领导任组长，各年级辅导员、班主任、分团委及学生分会主要成员组成，统筹负责学院本科生综合素质能力测评工作。</w:t>
      </w:r>
    </w:p>
    <w:p w14:paraId="6DDB9174">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outlineLvl w:val="0"/>
        <w:rPr>
          <w:rFonts w:ascii="仿宋" w:hAnsi="仿宋" w:eastAsia="仿宋" w:cs="Times New Roman"/>
          <w:color w:val="000000"/>
          <w:kern w:val="2"/>
          <w:sz w:val="32"/>
          <w:szCs w:val="32"/>
          <w:highlight w:val="none"/>
        </w:rPr>
      </w:pPr>
      <w:r>
        <w:rPr>
          <w:rFonts w:hint="eastAsia" w:ascii="仿宋" w:hAnsi="仿宋" w:eastAsia="仿宋" w:cs="仿宋"/>
          <w:b/>
          <w:bCs/>
          <w:color w:val="000000"/>
          <w:kern w:val="2"/>
          <w:sz w:val="32"/>
          <w:szCs w:val="32"/>
          <w:highlight w:val="none"/>
        </w:rPr>
        <w:t>第九条</w:t>
      </w:r>
      <w:r>
        <w:rPr>
          <w:rFonts w:hint="eastAsia" w:ascii="仿宋" w:hAnsi="仿宋" w:eastAsia="仿宋" w:cs="Times New Roman"/>
          <w:b/>
          <w:bCs/>
          <w:color w:val="000000"/>
          <w:kern w:val="2"/>
          <w:sz w:val="32"/>
          <w:szCs w:val="32"/>
          <w:highlight w:val="none"/>
        </w:rPr>
        <w:t xml:space="preserve"> </w:t>
      </w:r>
      <w:r>
        <w:rPr>
          <w:rFonts w:hint="eastAsia" w:ascii="仿宋" w:hAnsi="仿宋" w:eastAsia="仿宋" w:cs="Times New Roman"/>
          <w:color w:val="000000"/>
          <w:kern w:val="2"/>
          <w:sz w:val="32"/>
          <w:szCs w:val="32"/>
          <w:highlight w:val="none"/>
        </w:rPr>
        <w:t>各学生年级成立综合素质能力</w:t>
      </w:r>
      <w:r>
        <w:rPr>
          <w:rFonts w:hint="eastAsia" w:ascii="仿宋" w:hAnsi="仿宋" w:eastAsia="仿宋" w:cs="Times New Roman"/>
          <w:color w:val="000000"/>
          <w:kern w:val="2"/>
          <w:sz w:val="32"/>
          <w:szCs w:val="32"/>
          <w:highlight w:val="none"/>
          <w:lang w:eastAsia="zh-TW"/>
        </w:rPr>
        <w:t>测评</w:t>
      </w:r>
      <w:r>
        <w:rPr>
          <w:rFonts w:hint="eastAsia" w:ascii="仿宋" w:hAnsi="仿宋" w:eastAsia="仿宋" w:cs="Times New Roman"/>
          <w:color w:val="000000"/>
          <w:kern w:val="2"/>
          <w:sz w:val="32"/>
          <w:szCs w:val="32"/>
          <w:highlight w:val="none"/>
        </w:rPr>
        <w:t>工作小组（以下简称“</w:t>
      </w:r>
      <w:bookmarkStart w:id="0" w:name="_Hlk3814370"/>
      <w:r>
        <w:rPr>
          <w:rFonts w:hint="eastAsia" w:ascii="仿宋" w:hAnsi="仿宋" w:eastAsia="仿宋" w:cs="Times New Roman"/>
          <w:color w:val="000000"/>
          <w:kern w:val="2"/>
          <w:sz w:val="32"/>
          <w:szCs w:val="32"/>
          <w:highlight w:val="none"/>
        </w:rPr>
        <w:t>工作小组</w:t>
      </w:r>
      <w:bookmarkEnd w:id="0"/>
      <w:r>
        <w:rPr>
          <w:rFonts w:hint="eastAsia" w:ascii="仿宋" w:hAnsi="仿宋" w:eastAsia="仿宋" w:cs="Times New Roman"/>
          <w:color w:val="000000"/>
          <w:kern w:val="2"/>
          <w:sz w:val="32"/>
          <w:szCs w:val="32"/>
          <w:highlight w:val="none"/>
        </w:rPr>
        <w:t>”），负责本年级学生综合素质能力测评工作。各年级工作小组由年级辅导员任组长，各班级工作小组组成。各班级工作小组由各班班主任担任组长，班长、团支部书记、学生党员（包括入党积极分子）、班级非学生干部代表，共5-7人组成。</w:t>
      </w:r>
    </w:p>
    <w:p w14:paraId="066DC918">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outlineLvl w:val="0"/>
        <w:rPr>
          <w:rFonts w:ascii="仿宋" w:hAnsi="仿宋" w:eastAsia="仿宋" w:cs="Times New Roman"/>
          <w:color w:val="000000"/>
          <w:kern w:val="2"/>
          <w:sz w:val="32"/>
          <w:szCs w:val="32"/>
          <w:highlight w:val="none"/>
        </w:rPr>
      </w:pPr>
      <w:r>
        <w:rPr>
          <w:rFonts w:hint="eastAsia" w:ascii="仿宋" w:hAnsi="仿宋" w:eastAsia="仿宋" w:cs="仿宋"/>
          <w:b/>
          <w:bCs/>
          <w:color w:val="000000"/>
          <w:kern w:val="2"/>
          <w:sz w:val="32"/>
          <w:szCs w:val="32"/>
          <w:highlight w:val="none"/>
        </w:rPr>
        <w:t>第十条</w:t>
      </w:r>
      <w:r>
        <w:rPr>
          <w:rFonts w:hint="eastAsia" w:ascii="仿宋" w:hAnsi="仿宋" w:eastAsia="仿宋" w:cs="Times New Roman"/>
          <w:b/>
          <w:bCs/>
          <w:color w:val="000000"/>
          <w:kern w:val="2"/>
          <w:sz w:val="32"/>
          <w:szCs w:val="32"/>
          <w:highlight w:val="none"/>
        </w:rPr>
        <w:t xml:space="preserve"> </w:t>
      </w:r>
      <w:r>
        <w:rPr>
          <w:rFonts w:hint="eastAsia" w:ascii="仿宋" w:hAnsi="仿宋" w:eastAsia="仿宋" w:cs="Times New Roman"/>
          <w:color w:val="000000"/>
          <w:kern w:val="2"/>
          <w:sz w:val="32"/>
          <w:szCs w:val="32"/>
          <w:highlight w:val="none"/>
        </w:rPr>
        <w:t>工作小组的职责：</w:t>
      </w:r>
    </w:p>
    <w:p w14:paraId="38179AC5">
      <w:pPr>
        <w:pStyle w:val="11"/>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sz w:val="32"/>
          <w:szCs w:val="32"/>
          <w:highlight w:val="none"/>
          <w:lang w:val="zh-TW" w:eastAsia="zh-TW"/>
        </w:rPr>
      </w:pPr>
      <w:r>
        <w:rPr>
          <w:rFonts w:hint="eastAsia" w:ascii="仿宋" w:hAnsi="仿宋" w:eastAsia="仿宋"/>
          <w:sz w:val="32"/>
          <w:szCs w:val="32"/>
          <w:highlight w:val="none"/>
          <w:lang w:val="zh-TW" w:eastAsia="zh-TW"/>
        </w:rPr>
        <w:t>（一）在领导小组的指导下开展本年级学生</w:t>
      </w:r>
      <w:r>
        <w:rPr>
          <w:rFonts w:hint="eastAsia" w:ascii="仿宋" w:hAnsi="仿宋" w:eastAsia="仿宋"/>
          <w:sz w:val="32"/>
          <w:szCs w:val="32"/>
          <w:highlight w:val="none"/>
        </w:rPr>
        <w:t>综合</w:t>
      </w:r>
      <w:r>
        <w:rPr>
          <w:rFonts w:hint="eastAsia" w:ascii="仿宋" w:hAnsi="仿宋" w:eastAsia="仿宋"/>
          <w:sz w:val="32"/>
          <w:szCs w:val="32"/>
          <w:highlight w:val="none"/>
          <w:lang w:val="zh-TW" w:eastAsia="zh-TW"/>
        </w:rPr>
        <w:t>素质能力测评工作；</w:t>
      </w:r>
    </w:p>
    <w:p w14:paraId="79339CBB">
      <w:pPr>
        <w:pStyle w:val="4"/>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cs="Times New Roman"/>
          <w:sz w:val="32"/>
          <w:szCs w:val="32"/>
          <w:highlight w:val="none"/>
          <w:lang w:val="zh-TW" w:eastAsia="zh-TW"/>
        </w:rPr>
      </w:pPr>
      <w:r>
        <w:rPr>
          <w:rFonts w:hint="eastAsia" w:ascii="仿宋" w:hAnsi="仿宋" w:eastAsia="仿宋" w:cs="Times New Roman"/>
          <w:sz w:val="32"/>
          <w:szCs w:val="32"/>
          <w:highlight w:val="none"/>
          <w:lang w:val="zh-TW" w:eastAsia="zh-TW"/>
        </w:rPr>
        <w:t>（二）负责审查核准相关测评数据；</w:t>
      </w:r>
    </w:p>
    <w:p w14:paraId="2DA665C2">
      <w:pPr>
        <w:pStyle w:val="4"/>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cs="Times New Roman"/>
          <w:sz w:val="32"/>
          <w:szCs w:val="32"/>
          <w:highlight w:val="none"/>
          <w:lang w:val="zh-TW" w:eastAsia="zh-TW"/>
        </w:rPr>
      </w:pPr>
      <w:r>
        <w:rPr>
          <w:rFonts w:hint="eastAsia" w:ascii="仿宋" w:hAnsi="仿宋" w:eastAsia="仿宋" w:cs="Times New Roman"/>
          <w:sz w:val="32"/>
          <w:szCs w:val="32"/>
          <w:highlight w:val="none"/>
          <w:lang w:val="zh-TW" w:eastAsia="zh-TW"/>
        </w:rPr>
        <w:t>（三）协调统一本专业班级间的测评工作；</w:t>
      </w:r>
    </w:p>
    <w:p w14:paraId="590DACF3">
      <w:pPr>
        <w:pStyle w:val="4"/>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cs="Times New Roman"/>
          <w:sz w:val="32"/>
          <w:szCs w:val="32"/>
          <w:highlight w:val="none"/>
          <w:lang w:val="zh-TW" w:eastAsia="zh-TW"/>
        </w:rPr>
      </w:pPr>
      <w:r>
        <w:rPr>
          <w:rFonts w:hint="eastAsia" w:ascii="仿宋" w:hAnsi="仿宋" w:eastAsia="仿宋" w:cs="Times New Roman"/>
          <w:sz w:val="32"/>
          <w:szCs w:val="32"/>
          <w:highlight w:val="none"/>
          <w:lang w:val="zh-TW" w:eastAsia="zh-TW"/>
        </w:rPr>
        <w:t>（四）做好</w:t>
      </w:r>
      <w:r>
        <w:rPr>
          <w:rFonts w:hint="eastAsia" w:ascii="仿宋" w:hAnsi="仿宋" w:eastAsia="仿宋" w:cs="Times New Roman"/>
          <w:sz w:val="32"/>
          <w:szCs w:val="32"/>
          <w:highlight w:val="none"/>
        </w:rPr>
        <w:t>综合</w:t>
      </w:r>
      <w:r>
        <w:rPr>
          <w:rFonts w:hint="eastAsia" w:ascii="仿宋" w:hAnsi="仿宋" w:eastAsia="仿宋" w:cs="Times New Roman"/>
          <w:sz w:val="32"/>
          <w:szCs w:val="32"/>
          <w:highlight w:val="none"/>
          <w:lang w:val="zh-TW" w:eastAsia="zh-TW"/>
        </w:rPr>
        <w:t>素质能力测评互评分等支撑材料的记录、收集、整理、保存工作</w:t>
      </w:r>
      <w:r>
        <w:rPr>
          <w:rFonts w:hint="eastAsia" w:ascii="仿宋" w:hAnsi="仿宋" w:eastAsia="仿宋" w:cs="Times New Roman"/>
          <w:sz w:val="32"/>
          <w:szCs w:val="32"/>
          <w:highlight w:val="none"/>
          <w:lang w:val="zh-TW"/>
        </w:rPr>
        <w:t>；</w:t>
      </w:r>
    </w:p>
    <w:p w14:paraId="752410CA">
      <w:pPr>
        <w:pStyle w:val="4"/>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cs="Times New Roman"/>
          <w:sz w:val="32"/>
          <w:szCs w:val="32"/>
          <w:highlight w:val="none"/>
          <w:lang w:val="zh-TW"/>
        </w:rPr>
      </w:pPr>
      <w:r>
        <w:rPr>
          <w:rFonts w:hint="eastAsia" w:ascii="仿宋" w:hAnsi="仿宋" w:eastAsia="仿宋" w:cs="Times New Roman"/>
          <w:sz w:val="32"/>
          <w:szCs w:val="32"/>
          <w:highlight w:val="none"/>
          <w:lang w:val="zh-TW" w:eastAsia="zh-TW"/>
        </w:rPr>
        <w:t>（五）填报</w:t>
      </w:r>
      <w:r>
        <w:rPr>
          <w:rFonts w:hint="eastAsia" w:ascii="仿宋" w:hAnsi="仿宋" w:eastAsia="仿宋" w:cs="Times New Roman"/>
          <w:sz w:val="32"/>
          <w:szCs w:val="32"/>
          <w:highlight w:val="none"/>
        </w:rPr>
        <w:t>综合</w:t>
      </w:r>
      <w:r>
        <w:rPr>
          <w:rFonts w:hint="eastAsia" w:ascii="仿宋" w:hAnsi="仿宋" w:eastAsia="仿宋" w:cs="Times New Roman"/>
          <w:sz w:val="32"/>
          <w:szCs w:val="32"/>
          <w:highlight w:val="none"/>
          <w:lang w:val="zh-TW"/>
        </w:rPr>
        <w:t>素质能力测评</w:t>
      </w:r>
      <w:r>
        <w:rPr>
          <w:rFonts w:hint="eastAsia" w:ascii="仿宋" w:hAnsi="仿宋" w:eastAsia="仿宋" w:cs="Times New Roman"/>
          <w:sz w:val="32"/>
          <w:szCs w:val="32"/>
          <w:highlight w:val="none"/>
          <w:lang w:val="zh-TW" w:eastAsia="zh-TW"/>
        </w:rPr>
        <w:t>工作</w:t>
      </w:r>
      <w:r>
        <w:rPr>
          <w:rFonts w:hint="eastAsia" w:ascii="仿宋" w:hAnsi="仿宋" w:eastAsia="仿宋" w:cs="Times New Roman"/>
          <w:sz w:val="32"/>
          <w:szCs w:val="32"/>
          <w:highlight w:val="none"/>
          <w:lang w:val="zh-TW"/>
        </w:rPr>
        <w:t>中</w:t>
      </w:r>
      <w:r>
        <w:rPr>
          <w:rFonts w:hint="eastAsia" w:ascii="仿宋" w:hAnsi="仿宋" w:eastAsia="仿宋" w:cs="Times New Roman"/>
          <w:sz w:val="32"/>
          <w:szCs w:val="32"/>
          <w:highlight w:val="none"/>
          <w:lang w:val="zh-TW" w:eastAsia="zh-TW"/>
        </w:rPr>
        <w:t>有关表格并汇总存档</w:t>
      </w:r>
      <w:r>
        <w:rPr>
          <w:rFonts w:hint="eastAsia" w:ascii="仿宋" w:hAnsi="仿宋" w:eastAsia="仿宋" w:cs="Times New Roman"/>
          <w:sz w:val="32"/>
          <w:szCs w:val="32"/>
          <w:highlight w:val="none"/>
          <w:lang w:val="zh-TW"/>
        </w:rPr>
        <w:t>；</w:t>
      </w:r>
    </w:p>
    <w:p w14:paraId="56B122F5">
      <w:pPr>
        <w:pStyle w:val="4"/>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cs="Times New Roman"/>
          <w:sz w:val="32"/>
          <w:szCs w:val="32"/>
          <w:highlight w:val="none"/>
          <w:lang w:val="zh-TW"/>
        </w:rPr>
      </w:pPr>
      <w:r>
        <w:rPr>
          <w:rFonts w:hint="eastAsia" w:ascii="仿宋" w:hAnsi="仿宋" w:eastAsia="仿宋" w:cs="Times New Roman"/>
          <w:sz w:val="32"/>
          <w:szCs w:val="32"/>
          <w:highlight w:val="none"/>
          <w:lang w:val="zh-TW"/>
        </w:rPr>
        <w:t>（六）对班级测评结果解释说明。</w:t>
      </w:r>
    </w:p>
    <w:p w14:paraId="4CD94456">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rPr>
          <w:rFonts w:ascii="仿宋" w:hAnsi="仿宋" w:eastAsia="仿宋" w:cs="Times New Roman"/>
          <w:kern w:val="2"/>
          <w:sz w:val="32"/>
          <w:szCs w:val="32"/>
          <w:highlight w:val="none"/>
        </w:rPr>
      </w:pPr>
      <w:r>
        <w:rPr>
          <w:rFonts w:hint="eastAsia" w:ascii="仿宋" w:hAnsi="仿宋" w:eastAsia="仿宋" w:cs="仿宋"/>
          <w:b/>
          <w:bCs/>
          <w:color w:val="000000"/>
          <w:kern w:val="2"/>
          <w:sz w:val="32"/>
          <w:szCs w:val="32"/>
          <w:highlight w:val="none"/>
        </w:rPr>
        <w:t>第十一条</w:t>
      </w:r>
      <w:r>
        <w:rPr>
          <w:rFonts w:hint="eastAsia" w:ascii="仿宋" w:hAnsi="仿宋" w:eastAsia="仿宋" w:cs="Times New Roman"/>
          <w:b/>
          <w:bCs/>
          <w:kern w:val="2"/>
          <w:sz w:val="32"/>
          <w:szCs w:val="32"/>
          <w:highlight w:val="none"/>
        </w:rPr>
        <w:t xml:space="preserve"> </w:t>
      </w:r>
      <w:r>
        <w:rPr>
          <w:rFonts w:hint="eastAsia" w:ascii="仿宋" w:hAnsi="仿宋" w:eastAsia="仿宋" w:cs="Times New Roman"/>
          <w:kern w:val="2"/>
          <w:sz w:val="32"/>
          <w:szCs w:val="32"/>
          <w:highlight w:val="none"/>
          <w:lang w:val="zh-TW"/>
        </w:rPr>
        <w:t>学生</w:t>
      </w:r>
      <w:r>
        <w:rPr>
          <w:rFonts w:hint="eastAsia" w:ascii="仿宋" w:hAnsi="仿宋" w:eastAsia="仿宋" w:cs="Times New Roman"/>
          <w:kern w:val="2"/>
          <w:sz w:val="32"/>
          <w:szCs w:val="32"/>
          <w:highlight w:val="none"/>
        </w:rPr>
        <w:t>综合</w:t>
      </w:r>
      <w:r>
        <w:rPr>
          <w:rFonts w:hint="eastAsia" w:ascii="仿宋" w:hAnsi="仿宋" w:eastAsia="仿宋" w:cs="Times New Roman"/>
          <w:kern w:val="2"/>
          <w:sz w:val="32"/>
          <w:szCs w:val="32"/>
          <w:highlight w:val="none"/>
          <w:lang w:val="zh-TW"/>
        </w:rPr>
        <w:t>素质能力测评数据主要来源于《西北农林科技大学大学生第二课堂成绩单》和学生个人提供的支撑材料，资料时间范围为当年9月1日之前，测评内容中凡同一项目加减分，就高认定，不重复认定。</w:t>
      </w:r>
    </w:p>
    <w:p w14:paraId="5ABA9972">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outlineLvl w:val="0"/>
        <w:rPr>
          <w:rFonts w:ascii="仿宋" w:hAnsi="仿宋" w:eastAsia="仿宋" w:cs="Times New Roman"/>
          <w:color w:val="000000"/>
          <w:kern w:val="2"/>
          <w:sz w:val="32"/>
          <w:szCs w:val="32"/>
          <w:highlight w:val="none"/>
        </w:rPr>
      </w:pPr>
      <w:r>
        <w:rPr>
          <w:rFonts w:hint="eastAsia" w:ascii="仿宋" w:hAnsi="仿宋" w:eastAsia="仿宋" w:cs="仿宋"/>
          <w:b/>
          <w:bCs/>
          <w:color w:val="000000"/>
          <w:kern w:val="2"/>
          <w:sz w:val="32"/>
          <w:szCs w:val="32"/>
          <w:highlight w:val="none"/>
        </w:rPr>
        <w:t>第十二条</w:t>
      </w:r>
      <w:r>
        <w:rPr>
          <w:rFonts w:hint="eastAsia" w:ascii="仿宋" w:hAnsi="仿宋" w:eastAsia="仿宋" w:cs="Times New Roman"/>
          <w:b/>
          <w:bCs/>
          <w:color w:val="000000"/>
          <w:kern w:val="2"/>
          <w:sz w:val="32"/>
          <w:szCs w:val="32"/>
          <w:highlight w:val="none"/>
        </w:rPr>
        <w:t xml:space="preserve"> </w:t>
      </w:r>
      <w:r>
        <w:rPr>
          <w:rFonts w:hint="eastAsia" w:ascii="仿宋" w:hAnsi="仿宋" w:eastAsia="仿宋" w:cs="Times New Roman"/>
          <w:color w:val="000000"/>
          <w:kern w:val="2"/>
          <w:sz w:val="32"/>
          <w:szCs w:val="32"/>
          <w:highlight w:val="none"/>
          <w:lang w:val="zh-TW"/>
        </w:rPr>
        <w:t>学生</w:t>
      </w:r>
      <w:r>
        <w:rPr>
          <w:rFonts w:hint="eastAsia" w:ascii="仿宋" w:hAnsi="仿宋" w:eastAsia="仿宋" w:cs="Times New Roman"/>
          <w:color w:val="000000"/>
          <w:kern w:val="2"/>
          <w:sz w:val="32"/>
          <w:szCs w:val="32"/>
          <w:highlight w:val="none"/>
        </w:rPr>
        <w:t>综合</w:t>
      </w:r>
      <w:r>
        <w:rPr>
          <w:rFonts w:hint="eastAsia" w:ascii="仿宋" w:hAnsi="仿宋" w:eastAsia="仿宋" w:cs="Times New Roman"/>
          <w:color w:val="000000"/>
          <w:kern w:val="2"/>
          <w:sz w:val="32"/>
          <w:szCs w:val="32"/>
          <w:highlight w:val="none"/>
          <w:lang w:val="zh-TW"/>
        </w:rPr>
        <w:t>素质能力测评</w:t>
      </w:r>
      <w:r>
        <w:rPr>
          <w:rFonts w:hint="eastAsia" w:ascii="仿宋" w:hAnsi="仿宋" w:eastAsia="仿宋" w:cs="Times New Roman"/>
          <w:color w:val="000000"/>
          <w:kern w:val="2"/>
          <w:sz w:val="32"/>
          <w:szCs w:val="32"/>
          <w:highlight w:val="none"/>
        </w:rPr>
        <w:t>程序：</w:t>
      </w:r>
    </w:p>
    <w:p w14:paraId="48946CB5">
      <w:pPr>
        <w:pStyle w:val="11"/>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sz w:val="32"/>
          <w:szCs w:val="32"/>
          <w:highlight w:val="none"/>
          <w:lang w:val="zh-TW" w:eastAsia="zh-TW"/>
        </w:rPr>
      </w:pPr>
      <w:r>
        <w:rPr>
          <w:rFonts w:hint="eastAsia" w:ascii="仿宋" w:hAnsi="仿宋" w:eastAsia="仿宋"/>
          <w:sz w:val="32"/>
          <w:szCs w:val="32"/>
          <w:highlight w:val="none"/>
          <w:lang w:val="zh-TW" w:eastAsia="zh-TW"/>
        </w:rPr>
        <w:t>（一）学生根据学院测评细则</w:t>
      </w:r>
      <w:r>
        <w:rPr>
          <w:rFonts w:hint="eastAsia" w:ascii="仿宋" w:hAnsi="仿宋" w:eastAsia="仿宋"/>
          <w:sz w:val="32"/>
          <w:szCs w:val="32"/>
          <w:highlight w:val="none"/>
          <w:lang w:val="zh-TW"/>
        </w:rPr>
        <w:t>提供个人相关</w:t>
      </w:r>
      <w:r>
        <w:rPr>
          <w:rFonts w:hint="eastAsia" w:ascii="仿宋" w:hAnsi="仿宋" w:eastAsia="仿宋"/>
          <w:sz w:val="32"/>
          <w:szCs w:val="32"/>
          <w:highlight w:val="none"/>
        </w:rPr>
        <w:t>支撑</w:t>
      </w:r>
      <w:r>
        <w:rPr>
          <w:rFonts w:hint="eastAsia" w:ascii="仿宋" w:hAnsi="仿宋" w:eastAsia="仿宋"/>
          <w:sz w:val="32"/>
          <w:szCs w:val="32"/>
          <w:highlight w:val="none"/>
          <w:lang w:val="zh-TW"/>
        </w:rPr>
        <w:t>材料</w:t>
      </w:r>
      <w:r>
        <w:rPr>
          <w:rFonts w:hint="eastAsia" w:ascii="仿宋" w:hAnsi="仿宋" w:eastAsia="仿宋"/>
          <w:sz w:val="32"/>
          <w:szCs w:val="32"/>
          <w:highlight w:val="none"/>
          <w:lang w:val="zh-TW" w:eastAsia="zh-TW"/>
        </w:rPr>
        <w:t>；</w:t>
      </w:r>
    </w:p>
    <w:p w14:paraId="2A6CF17A">
      <w:pPr>
        <w:pStyle w:val="11"/>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sz w:val="32"/>
          <w:szCs w:val="32"/>
          <w:highlight w:val="none"/>
          <w:lang w:val="zh-TW" w:eastAsia="zh-TW"/>
        </w:rPr>
      </w:pPr>
      <w:r>
        <w:rPr>
          <w:rFonts w:hint="eastAsia" w:ascii="仿宋" w:hAnsi="仿宋" w:eastAsia="仿宋"/>
          <w:sz w:val="32"/>
          <w:szCs w:val="32"/>
          <w:highlight w:val="none"/>
          <w:lang w:val="zh-TW" w:eastAsia="zh-TW"/>
        </w:rPr>
        <w:t>（二）工作组</w:t>
      </w:r>
      <w:r>
        <w:rPr>
          <w:rFonts w:hint="eastAsia" w:ascii="仿宋" w:hAnsi="仿宋" w:eastAsia="仿宋"/>
          <w:sz w:val="32"/>
          <w:szCs w:val="32"/>
          <w:highlight w:val="none"/>
          <w:lang w:val="zh-TW"/>
        </w:rPr>
        <w:t>对学生提供的相关材料进行审核和统计后，</w:t>
      </w:r>
      <w:r>
        <w:rPr>
          <w:rFonts w:hint="eastAsia" w:ascii="仿宋" w:hAnsi="仿宋" w:eastAsia="仿宋"/>
          <w:sz w:val="32"/>
          <w:szCs w:val="32"/>
          <w:highlight w:val="none"/>
          <w:lang w:val="zh-TW" w:eastAsia="zh-TW"/>
        </w:rPr>
        <w:t>生成学生测评成绩</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专业年级排名</w:t>
      </w:r>
      <w:r>
        <w:rPr>
          <w:rFonts w:hint="eastAsia" w:ascii="仿宋" w:hAnsi="仿宋" w:eastAsia="仿宋"/>
          <w:sz w:val="32"/>
          <w:szCs w:val="32"/>
          <w:highlight w:val="none"/>
          <w:lang w:val="zh-TW"/>
        </w:rPr>
        <w:t>、班级排名</w:t>
      </w:r>
      <w:r>
        <w:rPr>
          <w:rFonts w:hint="eastAsia" w:ascii="仿宋" w:hAnsi="仿宋" w:eastAsia="仿宋"/>
          <w:sz w:val="32"/>
          <w:szCs w:val="32"/>
          <w:highlight w:val="none"/>
          <w:lang w:val="zh-TW" w:eastAsia="zh-TW"/>
        </w:rPr>
        <w:t>；</w:t>
      </w:r>
    </w:p>
    <w:p w14:paraId="3DE62425">
      <w:pPr>
        <w:pStyle w:val="11"/>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sz w:val="32"/>
          <w:szCs w:val="32"/>
          <w:highlight w:val="none"/>
          <w:lang w:val="zh-TW" w:eastAsia="zh-TW"/>
        </w:rPr>
      </w:pPr>
      <w:r>
        <w:rPr>
          <w:rFonts w:hint="eastAsia" w:ascii="仿宋" w:hAnsi="仿宋" w:eastAsia="仿宋"/>
          <w:sz w:val="32"/>
          <w:szCs w:val="32"/>
          <w:highlight w:val="none"/>
          <w:lang w:val="zh-TW" w:eastAsia="zh-TW"/>
        </w:rPr>
        <w:t>（三）工作组向学生反馈测评成绩</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专业年级排名</w:t>
      </w:r>
      <w:r>
        <w:rPr>
          <w:rFonts w:hint="eastAsia" w:ascii="仿宋" w:hAnsi="仿宋" w:eastAsia="仿宋"/>
          <w:sz w:val="32"/>
          <w:szCs w:val="32"/>
          <w:highlight w:val="none"/>
          <w:lang w:val="zh-TW"/>
        </w:rPr>
        <w:t>、班级排名，无误后由学生本人签字确认</w:t>
      </w:r>
      <w:r>
        <w:rPr>
          <w:rFonts w:hint="eastAsia" w:ascii="仿宋" w:hAnsi="仿宋" w:eastAsia="仿宋"/>
          <w:sz w:val="32"/>
          <w:szCs w:val="32"/>
          <w:highlight w:val="none"/>
          <w:lang w:val="zh-TW" w:eastAsia="zh-TW"/>
        </w:rPr>
        <w:t>；</w:t>
      </w:r>
    </w:p>
    <w:p w14:paraId="58DBF892">
      <w:pPr>
        <w:pStyle w:val="11"/>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sz w:val="32"/>
          <w:szCs w:val="32"/>
          <w:highlight w:val="none"/>
          <w:lang w:val="zh-TW"/>
        </w:rPr>
      </w:pPr>
      <w:r>
        <w:rPr>
          <w:rFonts w:hint="eastAsia" w:ascii="仿宋" w:hAnsi="仿宋" w:eastAsia="仿宋"/>
          <w:sz w:val="32"/>
          <w:szCs w:val="32"/>
          <w:highlight w:val="none"/>
          <w:lang w:val="zh-TW" w:eastAsia="zh-TW"/>
        </w:rPr>
        <w:t>（四）工作组在各专业年级范围内将学生的</w:t>
      </w:r>
      <w:r>
        <w:rPr>
          <w:rFonts w:hint="eastAsia" w:ascii="仿宋" w:hAnsi="仿宋" w:eastAsia="仿宋"/>
          <w:sz w:val="32"/>
          <w:szCs w:val="32"/>
          <w:highlight w:val="none"/>
          <w:lang w:val="zh-TW"/>
        </w:rPr>
        <w:t>测评</w:t>
      </w:r>
      <w:r>
        <w:rPr>
          <w:rFonts w:hint="eastAsia" w:ascii="仿宋" w:hAnsi="仿宋" w:eastAsia="仿宋"/>
          <w:sz w:val="32"/>
          <w:szCs w:val="32"/>
          <w:highlight w:val="none"/>
          <w:lang w:val="zh-TW" w:eastAsia="zh-TW"/>
        </w:rPr>
        <w:t>成绩、详细加分项目明细</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专业年级排名</w:t>
      </w:r>
      <w:r>
        <w:rPr>
          <w:rFonts w:hint="eastAsia" w:ascii="仿宋" w:hAnsi="仿宋" w:eastAsia="仿宋"/>
          <w:sz w:val="32"/>
          <w:szCs w:val="32"/>
          <w:highlight w:val="none"/>
          <w:lang w:val="zh-TW"/>
        </w:rPr>
        <w:t>、班级排名</w:t>
      </w:r>
      <w:r>
        <w:rPr>
          <w:rFonts w:hint="eastAsia" w:ascii="仿宋" w:hAnsi="仿宋" w:eastAsia="仿宋"/>
          <w:sz w:val="32"/>
          <w:szCs w:val="32"/>
          <w:highlight w:val="none"/>
          <w:lang w:val="zh-TW" w:eastAsia="zh-TW"/>
        </w:rPr>
        <w:t>公示</w:t>
      </w:r>
      <w:r>
        <w:rPr>
          <w:rFonts w:hint="eastAsia" w:ascii="仿宋" w:hAnsi="仿宋" w:eastAsia="仿宋"/>
          <w:sz w:val="32"/>
          <w:szCs w:val="32"/>
          <w:highlight w:val="none"/>
          <w:lang w:val="zh-TW"/>
        </w:rPr>
        <w:t>不少于</w:t>
      </w:r>
      <w:r>
        <w:rPr>
          <w:rFonts w:hint="eastAsia" w:ascii="仿宋" w:hAnsi="仿宋" w:eastAsia="仿宋"/>
          <w:sz w:val="32"/>
          <w:szCs w:val="32"/>
          <w:highlight w:val="none"/>
        </w:rPr>
        <w:t>3</w:t>
      </w:r>
      <w:r>
        <w:rPr>
          <w:rFonts w:hint="eastAsia" w:ascii="仿宋" w:hAnsi="仿宋" w:eastAsia="仿宋"/>
          <w:sz w:val="32"/>
          <w:szCs w:val="32"/>
          <w:highlight w:val="none"/>
          <w:lang w:val="zh-TW" w:eastAsia="zh-TW"/>
        </w:rPr>
        <w:t>个工作日。参评学生如有异议，可在</w:t>
      </w:r>
      <w:r>
        <w:rPr>
          <w:rFonts w:hint="eastAsia" w:ascii="仿宋" w:hAnsi="仿宋" w:eastAsia="仿宋"/>
          <w:sz w:val="32"/>
          <w:szCs w:val="32"/>
          <w:highlight w:val="none"/>
          <w:lang w:val="zh-TW"/>
        </w:rPr>
        <w:t>公示期内</w:t>
      </w:r>
      <w:r>
        <w:rPr>
          <w:rFonts w:hint="eastAsia" w:ascii="仿宋" w:hAnsi="仿宋" w:eastAsia="仿宋"/>
          <w:sz w:val="32"/>
          <w:szCs w:val="32"/>
          <w:highlight w:val="none"/>
          <w:lang w:val="zh-TW" w:eastAsia="zh-TW"/>
        </w:rPr>
        <w:t>向测评工作组提出</w:t>
      </w:r>
      <w:r>
        <w:rPr>
          <w:rFonts w:hint="eastAsia" w:ascii="仿宋" w:hAnsi="仿宋" w:eastAsia="仿宋"/>
          <w:sz w:val="32"/>
          <w:szCs w:val="32"/>
          <w:highlight w:val="none"/>
          <w:lang w:val="zh-TW"/>
        </w:rPr>
        <w:t>书面</w:t>
      </w:r>
      <w:r>
        <w:rPr>
          <w:rFonts w:hint="eastAsia" w:ascii="仿宋" w:hAnsi="仿宋" w:eastAsia="仿宋"/>
          <w:sz w:val="32"/>
          <w:szCs w:val="32"/>
          <w:highlight w:val="none"/>
          <w:lang w:val="zh-TW" w:eastAsia="zh-TW"/>
        </w:rPr>
        <w:t>复评</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对复评结果仍有异议者，可向领导小组申诉</w:t>
      </w:r>
      <w:r>
        <w:rPr>
          <w:rFonts w:hint="eastAsia" w:ascii="仿宋" w:hAnsi="仿宋" w:eastAsia="仿宋"/>
          <w:sz w:val="32"/>
          <w:szCs w:val="32"/>
          <w:highlight w:val="none"/>
          <w:lang w:val="zh-TW"/>
        </w:rPr>
        <w:t>，领导小组做出的决议为最终结果；</w:t>
      </w:r>
    </w:p>
    <w:p w14:paraId="5B07FB72">
      <w:pPr>
        <w:pStyle w:val="11"/>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ascii="仿宋" w:hAnsi="仿宋" w:eastAsia="仿宋"/>
          <w:sz w:val="32"/>
          <w:szCs w:val="32"/>
          <w:highlight w:val="none"/>
          <w:lang w:val="zh-TW"/>
        </w:rPr>
      </w:pPr>
      <w:r>
        <w:rPr>
          <w:rFonts w:hint="eastAsia" w:ascii="仿宋" w:hAnsi="仿宋" w:eastAsia="仿宋"/>
          <w:sz w:val="32"/>
          <w:szCs w:val="32"/>
          <w:highlight w:val="none"/>
          <w:lang w:val="zh-TW" w:eastAsia="zh-TW"/>
        </w:rPr>
        <w:t>（五）公示无异议后，工作组将</w:t>
      </w:r>
      <w:r>
        <w:rPr>
          <w:rFonts w:hint="eastAsia" w:ascii="仿宋" w:hAnsi="仿宋" w:eastAsia="仿宋"/>
          <w:sz w:val="32"/>
          <w:szCs w:val="32"/>
          <w:highlight w:val="none"/>
          <w:lang w:val="zh-TW"/>
        </w:rPr>
        <w:t>学生测评</w:t>
      </w:r>
      <w:r>
        <w:rPr>
          <w:rFonts w:hint="eastAsia" w:ascii="仿宋" w:hAnsi="仿宋" w:eastAsia="仿宋"/>
          <w:sz w:val="32"/>
          <w:szCs w:val="32"/>
          <w:highlight w:val="none"/>
          <w:lang w:val="zh-TW" w:eastAsia="zh-TW"/>
        </w:rPr>
        <w:t>成绩及排名报送</w:t>
      </w:r>
      <w:r>
        <w:rPr>
          <w:rFonts w:hint="eastAsia" w:ascii="仿宋" w:hAnsi="仿宋" w:eastAsia="仿宋"/>
          <w:sz w:val="32"/>
          <w:szCs w:val="32"/>
          <w:highlight w:val="none"/>
          <w:lang w:val="zh-TW"/>
        </w:rPr>
        <w:t>学院</w:t>
      </w:r>
      <w:r>
        <w:rPr>
          <w:rFonts w:hint="eastAsia" w:ascii="仿宋" w:hAnsi="仿宋" w:eastAsia="仿宋"/>
          <w:sz w:val="32"/>
          <w:szCs w:val="32"/>
          <w:highlight w:val="none"/>
          <w:lang w:val="zh-TW" w:eastAsia="zh-TW"/>
        </w:rPr>
        <w:t>领导小组审核、备案</w:t>
      </w:r>
      <w:r>
        <w:rPr>
          <w:rFonts w:hint="eastAsia" w:ascii="仿宋" w:hAnsi="仿宋" w:eastAsia="仿宋"/>
          <w:sz w:val="32"/>
          <w:szCs w:val="32"/>
          <w:highlight w:val="none"/>
          <w:lang w:val="zh-TW"/>
        </w:rPr>
        <w:t>后以</w:t>
      </w:r>
      <w:r>
        <w:rPr>
          <w:rFonts w:hint="eastAsia" w:ascii="仿宋" w:hAnsi="仿宋" w:eastAsia="仿宋"/>
          <w:sz w:val="32"/>
          <w:szCs w:val="32"/>
          <w:highlight w:val="none"/>
          <w:lang w:val="zh-TW" w:eastAsia="zh-TW"/>
        </w:rPr>
        <w:t>专业年级为单位存档</w:t>
      </w:r>
      <w:r>
        <w:rPr>
          <w:rFonts w:hint="eastAsia" w:ascii="仿宋" w:hAnsi="仿宋" w:eastAsia="仿宋"/>
          <w:sz w:val="32"/>
          <w:szCs w:val="32"/>
          <w:highlight w:val="none"/>
          <w:lang w:val="zh-TW"/>
        </w:rPr>
        <w:t>；</w:t>
      </w:r>
      <w:r>
        <w:rPr>
          <w:rFonts w:hint="eastAsia" w:ascii="仿宋" w:hAnsi="仿宋" w:eastAsia="仿宋"/>
          <w:sz w:val="32"/>
          <w:szCs w:val="32"/>
          <w:highlight w:val="none"/>
          <w:lang w:val="zh-TW" w:eastAsia="zh-TW"/>
        </w:rPr>
        <w:t>组织学生填写《本科生</w:t>
      </w:r>
      <w:r>
        <w:rPr>
          <w:rFonts w:hint="eastAsia" w:ascii="仿宋" w:hAnsi="仿宋" w:eastAsia="仿宋"/>
          <w:sz w:val="32"/>
          <w:szCs w:val="32"/>
          <w:highlight w:val="none"/>
        </w:rPr>
        <w:t>综合</w:t>
      </w:r>
      <w:r>
        <w:rPr>
          <w:rFonts w:hint="eastAsia" w:ascii="仿宋" w:hAnsi="仿宋" w:eastAsia="仿宋"/>
          <w:sz w:val="32"/>
          <w:szCs w:val="32"/>
          <w:highlight w:val="none"/>
          <w:lang w:val="zh-TW" w:eastAsia="zh-TW"/>
        </w:rPr>
        <w:t>素质能力测评鉴定表》</w:t>
      </w:r>
      <w:r>
        <w:rPr>
          <w:rFonts w:hint="eastAsia" w:ascii="仿宋" w:hAnsi="仿宋" w:eastAsia="仿宋"/>
          <w:sz w:val="32"/>
          <w:szCs w:val="32"/>
          <w:highlight w:val="none"/>
          <w:lang w:val="zh-TW"/>
        </w:rPr>
        <w:t>，由党委学生工作部（处）签署意见、加盖公章后存入学生档案。</w:t>
      </w:r>
    </w:p>
    <w:p w14:paraId="705702B2">
      <w:pPr>
        <w:keepNext w:val="0"/>
        <w:keepLines w:val="0"/>
        <w:pageBreakBefore w:val="0"/>
        <w:widowControl w:val="0"/>
        <w:kinsoku/>
        <w:wordWrap/>
        <w:overflowPunct/>
        <w:topLinePunct w:val="0"/>
        <w:autoSpaceDE/>
        <w:autoSpaceDN/>
        <w:bidi w:val="0"/>
        <w:spacing w:after="120" w:line="560" w:lineRule="exact"/>
        <w:ind w:firstLine="643" w:firstLineChars="200"/>
        <w:textAlignment w:val="auto"/>
        <w:outlineLvl w:val="0"/>
        <w:rPr>
          <w:rFonts w:ascii="仿宋" w:hAnsi="仿宋" w:eastAsia="仿宋" w:cs="Times New Roman"/>
          <w:color w:val="000000"/>
          <w:kern w:val="2"/>
          <w:sz w:val="32"/>
          <w:szCs w:val="32"/>
          <w:highlight w:val="none"/>
        </w:rPr>
      </w:pPr>
      <w:bookmarkStart w:id="1" w:name="_Hlk9584588"/>
      <w:r>
        <w:rPr>
          <w:rFonts w:hint="eastAsia" w:ascii="仿宋" w:hAnsi="仿宋" w:eastAsia="仿宋" w:cs="仿宋"/>
          <w:b/>
          <w:bCs/>
          <w:color w:val="000000"/>
          <w:kern w:val="2"/>
          <w:sz w:val="32"/>
          <w:szCs w:val="32"/>
          <w:highlight w:val="none"/>
        </w:rPr>
        <w:t>第十三条</w:t>
      </w:r>
      <w:r>
        <w:rPr>
          <w:rFonts w:hint="eastAsia" w:ascii="仿宋" w:hAnsi="仿宋" w:eastAsia="仿宋" w:cs="Times New Roman"/>
          <w:b/>
          <w:bCs/>
          <w:color w:val="000000"/>
          <w:kern w:val="2"/>
          <w:sz w:val="32"/>
          <w:szCs w:val="32"/>
          <w:highlight w:val="none"/>
        </w:rPr>
        <w:t xml:space="preserve"> </w:t>
      </w:r>
      <w:r>
        <w:rPr>
          <w:rFonts w:hint="eastAsia" w:ascii="仿宋" w:hAnsi="仿宋" w:eastAsia="仿宋" w:cs="Times New Roman"/>
          <w:color w:val="000000"/>
          <w:kern w:val="2"/>
          <w:sz w:val="32"/>
          <w:szCs w:val="32"/>
          <w:highlight w:val="none"/>
        </w:rPr>
        <w:t>学校派出的访学学生在访学结束前，由学生所在访学院鉴定在访学期间思想政治、品德修养、有无奖惩等方面的表现，并出具综合鉴定意见和访学期间参加活动记录的书面材料。学生回校参加综合素质能力测评时，由学院领导小组进行认定。</w:t>
      </w:r>
    </w:p>
    <w:bookmarkEnd w:id="1"/>
    <w:p w14:paraId="30150FE9">
      <w:pPr>
        <w:keepNext w:val="0"/>
        <w:keepLines w:val="0"/>
        <w:pageBreakBefore w:val="0"/>
        <w:widowControl w:val="0"/>
        <w:kinsoku/>
        <w:wordWrap/>
        <w:overflowPunct/>
        <w:topLinePunct w:val="0"/>
        <w:autoSpaceDE/>
        <w:autoSpaceDN/>
        <w:bidi w:val="0"/>
        <w:adjustRightInd w:val="0"/>
        <w:snapToGrid w:val="0"/>
        <w:spacing w:after="120" w:line="560" w:lineRule="exact"/>
        <w:ind w:firstLine="643" w:firstLineChars="200"/>
        <w:textAlignment w:val="auto"/>
        <w:rPr>
          <w:rFonts w:ascii="仿宋" w:hAnsi="仿宋" w:eastAsia="仿宋" w:cs="Times New Roman"/>
          <w:sz w:val="32"/>
          <w:szCs w:val="32"/>
          <w:highlight w:val="none"/>
        </w:rPr>
      </w:pPr>
      <w:r>
        <w:rPr>
          <w:rFonts w:hint="eastAsia" w:ascii="仿宋" w:hAnsi="仿宋" w:eastAsia="仿宋" w:cs="仿宋"/>
          <w:b/>
          <w:bCs/>
          <w:color w:val="000000"/>
          <w:kern w:val="2"/>
          <w:sz w:val="32"/>
          <w:szCs w:val="32"/>
          <w:highlight w:val="none"/>
        </w:rPr>
        <w:t>第十四条</w:t>
      </w:r>
      <w:r>
        <w:rPr>
          <w:rFonts w:hint="eastAsia" w:ascii="仿宋" w:hAnsi="仿宋" w:eastAsia="仿宋" w:cs="Times New Roman"/>
          <w:b/>
          <w:bCs/>
          <w:color w:val="000000"/>
          <w:kern w:val="2"/>
          <w:sz w:val="32"/>
          <w:szCs w:val="32"/>
          <w:highlight w:val="none"/>
        </w:rPr>
        <w:t xml:space="preserve"> </w:t>
      </w:r>
      <w:r>
        <w:rPr>
          <w:rFonts w:hint="eastAsia" w:ascii="仿宋" w:hAnsi="仿宋" w:eastAsia="仿宋" w:cs="Times New Roman"/>
          <w:sz w:val="32"/>
          <w:szCs w:val="32"/>
          <w:highlight w:val="none"/>
        </w:rPr>
        <w:t>测评过程中有循私舞弊、弄虚作假、扰乱测评秩序、妨碍测评正常进行等行为者，一经查实，取消其自受处分之日起一年内参加各类评优、各类奖助学金评定的资格，并根据情节轻重给予院级、校级相应处分，并计入本人档案。</w:t>
      </w:r>
    </w:p>
    <w:p w14:paraId="174E483E">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第三章 评价内容</w:t>
      </w:r>
    </w:p>
    <w:p w14:paraId="74E87FE3">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第十五条</w:t>
      </w:r>
      <w:r>
        <w:rPr>
          <w:rFonts w:hint="eastAsia" w:ascii="仿宋" w:hAnsi="仿宋" w:eastAsia="仿宋" w:cs="仿宋"/>
          <w:color w:val="000000"/>
          <w:sz w:val="32"/>
          <w:szCs w:val="32"/>
          <w:highlight w:val="none"/>
        </w:rPr>
        <w:t xml:space="preserve"> 综合素质能力测评采用百分制计算方法，测评内容为测评学年内学生在德育、智育、体育、美育和劳育五个方面的综合表现。</w:t>
      </w:r>
    </w:p>
    <w:p w14:paraId="7509C673">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第十六条</w:t>
      </w:r>
      <w:r>
        <w:rPr>
          <w:rFonts w:hint="eastAsia" w:ascii="仿宋" w:hAnsi="仿宋" w:eastAsia="仿宋" w:cs="仿宋"/>
          <w:color w:val="000000"/>
          <w:sz w:val="32"/>
          <w:szCs w:val="32"/>
          <w:highlight w:val="none"/>
        </w:rPr>
        <w:t xml:space="preserve"> 综合素质能力测评成绩计算公式：综合素质能力测评成绩＝德育素质能力测评成绩Dx20%＋智育素质能力测评成绩Zx50%＋体育素质能力测评成绩Tx10%＋美育素质能力测评成绩Mx10%＋劳育素质能力测评成绩L</w:t>
      </w:r>
      <w:r>
        <w:rPr>
          <w:rFonts w:hint="eastAsia" w:ascii="仿宋" w:hAnsi="仿宋" w:eastAsia="仿宋" w:cs="仿宋"/>
          <w:color w:val="000000"/>
          <w:sz w:val="32"/>
          <w:szCs w:val="32"/>
          <w:highlight w:val="none"/>
          <w:lang w:val="en-US" w:eastAsia="zh-CN"/>
        </w:rPr>
        <w:t>x</w:t>
      </w:r>
      <w:r>
        <w:rPr>
          <w:rFonts w:hint="eastAsia" w:ascii="仿宋" w:hAnsi="仿宋" w:eastAsia="仿宋" w:cs="仿宋"/>
          <w:color w:val="000000"/>
          <w:sz w:val="32"/>
          <w:szCs w:val="32"/>
          <w:highlight w:val="none"/>
        </w:rPr>
        <w:t>10%。</w:t>
      </w:r>
    </w:p>
    <w:p w14:paraId="2699E541">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第十七条</w:t>
      </w:r>
      <w:r>
        <w:rPr>
          <w:rFonts w:hint="eastAsia" w:ascii="仿宋" w:hAnsi="仿宋" w:eastAsia="仿宋" w:cs="仿宋"/>
          <w:color w:val="000000"/>
          <w:sz w:val="32"/>
          <w:szCs w:val="32"/>
          <w:highlight w:val="none"/>
        </w:rPr>
        <w:t xml:space="preserve"> 综合素质能力测评分为基础性评价和成果性评价。基础性评价主要考察学生在道德品质、学业表现、身心健康、行为规范、集体意识与社会责任等方面的基本素养和现实表现；成果性评价主要考察学生在学术科研、创新创业、学科竞赛、社会实践、志愿服务、文体活动及各类荣誉奖励等方面取得的突出成果和实际成效。</w:t>
      </w:r>
    </w:p>
    <w:p w14:paraId="311998D0">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第十八条</w:t>
      </w:r>
      <w:r>
        <w:rPr>
          <w:rFonts w:hint="eastAsia" w:ascii="仿宋" w:hAnsi="仿宋" w:eastAsia="仿宋" w:cs="仿宋"/>
          <w:color w:val="000000"/>
          <w:sz w:val="32"/>
          <w:szCs w:val="32"/>
          <w:highlight w:val="none"/>
        </w:rPr>
        <w:t xml:space="preserve"> 德育素质能力测评内容主要包括学生的政治立场、道德品质、行为修养、日常集体政治理论学习、发挥榜样引领示范作用及服务奉献等方面的表现。德育素质能力测评采用百分制，测评成绩包括德育基础性评价得分、德育成果性评价得分和德育扣分三部分。</w:t>
      </w:r>
    </w:p>
    <w:p w14:paraId="06804DD5">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第十九条</w:t>
      </w:r>
      <w:r>
        <w:rPr>
          <w:rFonts w:hint="eastAsia" w:ascii="仿宋" w:hAnsi="仿宋" w:eastAsia="仿宋" w:cs="仿宋"/>
          <w:color w:val="000000"/>
          <w:sz w:val="32"/>
          <w:szCs w:val="32"/>
          <w:highlight w:val="none"/>
        </w:rPr>
        <w:t xml:space="preserve"> 智育素质能力测评内容主要包括学生学业成绩、参与科研训练、学科竞赛与创新创业实践等方面的表现。智育素质能力测评采用百分制，测评成绩包括学业成绩得分和智育成果性评价得分两部分。</w:t>
      </w:r>
    </w:p>
    <w:p w14:paraId="5D51D273">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第二十条</w:t>
      </w:r>
      <w:r>
        <w:rPr>
          <w:rFonts w:hint="eastAsia" w:ascii="仿宋" w:hAnsi="仿宋" w:eastAsia="仿宋" w:cs="仿宋"/>
          <w:color w:val="000000"/>
          <w:sz w:val="32"/>
          <w:szCs w:val="32"/>
          <w:highlight w:val="none"/>
        </w:rPr>
        <w:t xml:space="preserve"> 体育素质能力测评内容主要包括学生体质健康基础、掌握体育技能、参加课外体育锻炼、体育竞赛和体育文化活动展演等方面的表现。体育素质能力测评采用百分制，测评成绩包括学生体质健康基础得分（以下简称“体测成绩”）和体育成果性评价得分两部分。体测成绩以学生上一学年的测试成绩计算。</w:t>
      </w:r>
    </w:p>
    <w:p w14:paraId="6BABF085">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第二十一条</w:t>
      </w:r>
      <w:r>
        <w:rPr>
          <w:rFonts w:hint="eastAsia" w:ascii="仿宋" w:hAnsi="仿宋" w:eastAsia="仿宋" w:cs="仿宋"/>
          <w:color w:val="000000"/>
          <w:sz w:val="32"/>
          <w:szCs w:val="32"/>
          <w:highlight w:val="none"/>
        </w:rPr>
        <w:t xml:space="preserve"> 美育素质能力测评内容主要包括学生对美的感知能力、鉴赏能力、表现能力和创造能力，以及参与文化艺术活动、文艺创作、文艺比赛及成果等方面的表现。美育素质能力测评采用百分制，测评成绩包括美育基础性评价得分和美育成果性评价得分两部分。</w:t>
      </w:r>
    </w:p>
    <w:p w14:paraId="3CAA03B7">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3" w:firstLineChars="200"/>
        <w:textAlignment w:val="auto"/>
        <w:rPr>
          <w:rFonts w:ascii="仿宋" w:hAnsi="仿宋" w:eastAsia="仿宋" w:cs="仿宋"/>
          <w:color w:val="000000"/>
          <w:sz w:val="32"/>
          <w:szCs w:val="32"/>
          <w:highlight w:val="none"/>
        </w:rPr>
      </w:pPr>
      <w:r>
        <w:rPr>
          <w:rFonts w:hint="eastAsia" w:ascii="仿宋" w:hAnsi="仿宋" w:eastAsia="仿宋" w:cs="仿宋"/>
          <w:b/>
          <w:bCs/>
          <w:color w:val="000000"/>
          <w:kern w:val="2"/>
          <w:sz w:val="32"/>
          <w:szCs w:val="32"/>
          <w:highlight w:val="none"/>
        </w:rPr>
        <w:t>第二十二条</w:t>
      </w:r>
      <w:r>
        <w:rPr>
          <w:rFonts w:hint="eastAsia" w:ascii="仿宋" w:hAnsi="仿宋" w:eastAsia="仿宋" w:cs="仿宋"/>
          <w:color w:val="000000"/>
          <w:sz w:val="32"/>
          <w:szCs w:val="32"/>
          <w:highlight w:val="none"/>
        </w:rPr>
        <w:t xml:space="preserve"> 劳育素质能力测评内容主要包括学生劳动观念、劳动行为习惯、参加生产劳动情况、参与文明校园建设情况、从事志愿服务、社会实践和劳动主题教育活动等方面的表现。劳育素质能力测评采用百分制，测评成绩包括劳育基础性评价得分和劳育成果性评价得分两部分。</w:t>
      </w:r>
    </w:p>
    <w:p w14:paraId="5EC7C668">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第四章 评分标准</w:t>
      </w:r>
    </w:p>
    <w:p w14:paraId="36473BAD">
      <w:pPr>
        <w:keepNext w:val="0"/>
        <w:keepLines w:val="0"/>
        <w:pageBreakBefore w:val="0"/>
        <w:widowControl w:val="0"/>
        <w:kinsoku/>
        <w:wordWrap w:val="0"/>
        <w:overflowPunct/>
        <w:topLinePunct w:val="0"/>
        <w:autoSpaceDE w:val="0"/>
        <w:autoSpaceDN w:val="0"/>
        <w:bidi w:val="0"/>
        <w:adjustRightInd/>
        <w:snapToGrid/>
        <w:spacing w:before="0" w:after="120" w:line="560" w:lineRule="exact"/>
        <w:ind w:firstLine="0" w:firstLineChars="0"/>
        <w:jc w:val="center"/>
        <w:textAlignment w:val="auto"/>
        <w:rPr>
          <w:rFonts w:hint="eastAsia" w:ascii="楷体" w:hAnsi="楷体" w:eastAsia="楷体" w:cs="楷体"/>
          <w:b w:val="0"/>
          <w:bCs w:val="0"/>
          <w:color w:val="000000"/>
          <w:kern w:val="2"/>
          <w:sz w:val="32"/>
          <w:szCs w:val="32"/>
          <w:highlight w:val="none"/>
        </w:rPr>
      </w:pPr>
      <w:r>
        <w:rPr>
          <w:rFonts w:hint="eastAsia" w:ascii="楷体" w:hAnsi="楷体" w:eastAsia="楷体" w:cs="楷体"/>
          <w:b w:val="0"/>
          <w:bCs w:val="0"/>
          <w:color w:val="000000"/>
          <w:kern w:val="2"/>
          <w:sz w:val="32"/>
          <w:szCs w:val="32"/>
          <w:highlight w:val="none"/>
        </w:rPr>
        <w:t>第一部分 德育素质能力测评标准</w:t>
      </w:r>
    </w:p>
    <w:p w14:paraId="42FB494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一、德育素质能力测评模块突出大学生思想政治与道德修养，强化对学生的思想、政治、道德、法治和心理健康教育，引导学生养成良好的思想道德品质、心理素质和行为习惯。</w:t>
      </w:r>
    </w:p>
    <w:p w14:paraId="3ADD5A2E">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德育素质能力测评内容主要包括学生的政治立场、道德品质、行为修养、日常集体政治理论学习、发挥榜样引领示范作用及服务奉献等方面的表现。德育素质能力测评采用百分制，测评成绩D包括德育基础性评价得分D1、德育成果性评价得分D2和德育扣分D3三部分。该项总分不超过100分，累计得分超过100分的按100分计。</w:t>
      </w:r>
      <w:r>
        <w:rPr>
          <w:rFonts w:hint="eastAsia" w:ascii="仿宋" w:hAnsi="仿宋" w:eastAsia="仿宋" w:cs="仿宋"/>
          <w:b w:val="0"/>
          <w:bCs/>
          <w:sz w:val="32"/>
          <w:szCs w:val="32"/>
          <w:highlight w:val="none"/>
        </w:rPr>
        <w:t>学生政治立场、道德品质方面出现严重问题的，测评时“德育”成绩计为不合格，且不得参与学校各类荣誉表彰项目评选。</w:t>
      </w:r>
    </w:p>
    <w:p w14:paraId="3EA5091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三、德育基础性评价总分为60分，测评内容主要包括政治立场、道德品质和行为修养三个方面。该项由学生所在班级团支部依据学生日常行为进行综合评价赋分。</w:t>
      </w:r>
    </w:p>
    <w:p w14:paraId="3F308B78">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（一）政治立场（20分）</w:t>
      </w:r>
    </w:p>
    <w:p w14:paraId="16011E33">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班级工作小组在全面了解班级学生的基础上，根据学生日常政治生活表现进行综合评价赋分，评价标准如下：</w:t>
      </w:r>
    </w:p>
    <w:p w14:paraId="463D1F75">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1.坚持四项基本原则，热爱祖国，热爱人民，有坚定的理想信念，坚持正确的政治方向；（5分）</w:t>
      </w:r>
    </w:p>
    <w:p w14:paraId="5FA3881E">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2.拥护中国共产党的领导和党的基本路线、方针、政策；（5分）</w:t>
      </w:r>
    </w:p>
    <w:p w14:paraId="1B04DEF0">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3.关心国家大事，明辨是非，具有坚定的政治立场；（5分）</w:t>
      </w:r>
    </w:p>
    <w:p w14:paraId="027FA07D">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4.自觉加强政治修养，政治上积极追求进步。（5分）</w:t>
      </w:r>
    </w:p>
    <w:p w14:paraId="62F55625">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其中，存在无故缺席政治理论学习，此项分数最高不超10分。</w:t>
      </w:r>
    </w:p>
    <w:p w14:paraId="10738795">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（二）道德品质（20分）</w:t>
      </w:r>
    </w:p>
    <w:p w14:paraId="3D29A26F">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班级工作小组在全面了解班级学生的基础上，根据学生日常政治生活表现进行综合评价赋分，评价标准如下：</w:t>
      </w:r>
    </w:p>
    <w:p w14:paraId="28423AE0">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cs="仿宋"/>
          <w:b w:val="0"/>
          <w:bCs/>
          <w:color w:val="000000"/>
          <w:sz w:val="32"/>
          <w:szCs w:val="32"/>
          <w:highlight w:val="none"/>
        </w:rPr>
        <w:t>1.积极践行社会主义核心价值观，</w:t>
      </w:r>
      <w:r>
        <w:rPr>
          <w:rFonts w:hint="eastAsia" w:ascii="仿宋" w:hAnsi="仿宋" w:eastAsia="仿宋"/>
          <w:b w:val="0"/>
          <w:bCs/>
          <w:sz w:val="32"/>
          <w:szCs w:val="32"/>
          <w:highlight w:val="none"/>
        </w:rPr>
        <w:t>树立正确的世界观、人生观和价值观，弘扬爱国主义、社会主义、集体主义精神；（5分）</w:t>
      </w:r>
    </w:p>
    <w:p w14:paraId="06CAC492">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cs="仿宋"/>
          <w:b w:val="0"/>
          <w:bCs/>
          <w:color w:val="000000"/>
          <w:sz w:val="32"/>
          <w:szCs w:val="32"/>
          <w:highlight w:val="none"/>
        </w:rPr>
        <w:t>2.自觉遵守国家法律法规与校纪校规，弘扬文明风尚，恪守“明大德、守公德、严私德”的基本要求。</w:t>
      </w:r>
      <w:r>
        <w:rPr>
          <w:rFonts w:hint="eastAsia" w:ascii="仿宋" w:hAnsi="仿宋" w:eastAsia="仿宋"/>
          <w:b w:val="0"/>
          <w:bCs/>
          <w:sz w:val="32"/>
          <w:szCs w:val="32"/>
          <w:highlight w:val="none"/>
        </w:rPr>
        <w:t>学年内未受到任何处分；（5分）（以学院记录为准）</w:t>
      </w:r>
    </w:p>
    <w:p w14:paraId="236229E3">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3.拥有良好的集体观念和团结意识，能正确处理个人与集体关系；（5分）</w:t>
      </w:r>
    </w:p>
    <w:p w14:paraId="744F369F">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4.积极参加集体活动，敢于担当，不无故缺席重大集体活动。（5分）（以班级考勤记录为准）</w:t>
      </w:r>
    </w:p>
    <w:p w14:paraId="102E2596">
      <w:pPr>
        <w:pStyle w:val="3"/>
        <w:keepNext w:val="0"/>
        <w:keepLines w:val="0"/>
        <w:pageBreakBefore w:val="0"/>
        <w:widowControl w:val="0"/>
        <w:kinsoku/>
        <w:overflowPunct/>
        <w:topLinePunct w:val="0"/>
        <w:bidi w:val="0"/>
        <w:spacing w:after="120" w:line="560" w:lineRule="exact"/>
        <w:ind w:left="0" w:leftChars="0"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b w:val="0"/>
          <w:bCs/>
          <w:sz w:val="32"/>
          <w:szCs w:val="32"/>
          <w:highlight w:val="none"/>
        </w:rPr>
        <w:t>其中学年内受到院级各项处分或处理，该项得分不超过10分，受到校级各项处分或处理，该项得分为0分。</w:t>
      </w:r>
    </w:p>
    <w:p w14:paraId="70B21C5B">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（三）行为修养（20分）</w:t>
      </w:r>
    </w:p>
    <w:p w14:paraId="28AE7E46">
      <w:pPr>
        <w:pStyle w:val="3"/>
        <w:keepNext w:val="0"/>
        <w:keepLines w:val="0"/>
        <w:pageBreakBefore w:val="0"/>
        <w:widowControl w:val="0"/>
        <w:kinsoku/>
        <w:overflowPunct/>
        <w:topLinePunct w:val="0"/>
        <w:bidi w:val="0"/>
        <w:spacing w:after="120" w:line="560" w:lineRule="exact"/>
        <w:ind w:left="0" w:leftChars="0"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班级工作小组在全面了解班级学生的基础上，根据学生日常政治生活表现进行综合评价赋分，评价标准如下：</w:t>
      </w:r>
    </w:p>
    <w:p w14:paraId="116FA82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1.言行文明、举止得体，待人友善、团结互助，与师生保持良好融洽的关系；</w:t>
      </w:r>
      <w:r>
        <w:rPr>
          <w:rFonts w:hint="eastAsia" w:ascii="仿宋" w:hAnsi="仿宋" w:eastAsia="仿宋"/>
          <w:b w:val="0"/>
          <w:bCs/>
          <w:sz w:val="32"/>
          <w:szCs w:val="32"/>
          <w:highlight w:val="none"/>
        </w:rPr>
        <w:t>（2分）</w:t>
      </w:r>
    </w:p>
    <w:p w14:paraId="5CEB211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w:t>
      </w:r>
      <w:r>
        <w:rPr>
          <w:rFonts w:hint="eastAsia" w:ascii="仿宋" w:hAnsi="仿宋" w:eastAsia="仿宋"/>
          <w:b w:val="0"/>
          <w:bCs/>
          <w:sz w:val="32"/>
          <w:szCs w:val="32"/>
          <w:highlight w:val="none"/>
        </w:rPr>
        <w:t>穿戴整洁大方，男女交往行为得体，举止文明谈吐文雅，不参与打架斗殴、酗酒、赌博等不文明行为；（2分）</w:t>
      </w:r>
    </w:p>
    <w:p w14:paraId="028AD78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w:t>
      </w:r>
      <w:r>
        <w:rPr>
          <w:rFonts w:hint="eastAsia" w:ascii="仿宋" w:hAnsi="仿宋" w:eastAsia="仿宋" w:cs="仿宋"/>
          <w:b w:val="0"/>
          <w:bCs/>
          <w:color w:val="000000"/>
          <w:sz w:val="32"/>
          <w:szCs w:val="32"/>
          <w:highlight w:val="none"/>
        </w:rPr>
        <w:t>尊敬师长、尊重他人，乐于助人，积极关心集体；</w:t>
      </w:r>
      <w:r>
        <w:rPr>
          <w:rFonts w:hint="eastAsia" w:ascii="仿宋" w:hAnsi="仿宋" w:eastAsia="仿宋"/>
          <w:b w:val="0"/>
          <w:bCs/>
          <w:sz w:val="32"/>
          <w:szCs w:val="32"/>
          <w:highlight w:val="none"/>
        </w:rPr>
        <w:t>（2分）</w:t>
      </w:r>
    </w:p>
    <w:p w14:paraId="6A56C03B">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4.珍惜公共财物和教学科研设备，保护公共设施，爱护花草树木，尊重他人劳动成果；（3分）</w:t>
      </w:r>
    </w:p>
    <w:p w14:paraId="33D96281">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5.</w:t>
      </w:r>
      <w:r>
        <w:rPr>
          <w:rFonts w:hint="eastAsia" w:ascii="仿宋" w:hAnsi="仿宋" w:eastAsia="仿宋"/>
          <w:b w:val="0"/>
          <w:bCs/>
          <w:sz w:val="32"/>
          <w:szCs w:val="32"/>
          <w:highlight w:val="none"/>
        </w:rPr>
        <w:t>遵守宿舍管理规定，按时归宿就寝，不影响他人正常学习和休息；不在宿舍做饭，不使用大功率违规电器，不损毁和私自拆装宿舍设施；（3分）（参考辅导员查寝记录和学校相关部门检查记录）</w:t>
      </w:r>
    </w:p>
    <w:p w14:paraId="09AA9D14">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6.</w:t>
      </w:r>
      <w:r>
        <w:rPr>
          <w:rFonts w:hint="eastAsia" w:ascii="仿宋" w:hAnsi="仿宋" w:eastAsia="仿宋" w:cs="仿宋"/>
          <w:b w:val="0"/>
          <w:bCs/>
          <w:color w:val="000000"/>
          <w:sz w:val="32"/>
          <w:szCs w:val="32"/>
          <w:highlight w:val="none"/>
        </w:rPr>
        <w:t>自觉爱护公共财物，保护校园环境，保持文明卫生习惯，弘扬勤俭节约风尚；</w:t>
      </w:r>
      <w:r>
        <w:rPr>
          <w:rFonts w:hint="eastAsia" w:ascii="仿宋" w:hAnsi="仿宋" w:eastAsia="仿宋"/>
          <w:b w:val="0"/>
          <w:bCs/>
          <w:sz w:val="32"/>
          <w:szCs w:val="32"/>
          <w:highlight w:val="none"/>
        </w:rPr>
        <w:t>（2分）</w:t>
      </w:r>
    </w:p>
    <w:p w14:paraId="0F921BDC">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7.</w:t>
      </w:r>
      <w:r>
        <w:rPr>
          <w:rFonts w:hint="eastAsia" w:ascii="仿宋" w:hAnsi="仿宋" w:eastAsia="仿宋" w:cs="仿宋"/>
          <w:b w:val="0"/>
          <w:bCs/>
          <w:color w:val="000000"/>
          <w:sz w:val="32"/>
          <w:szCs w:val="32"/>
          <w:highlight w:val="none"/>
        </w:rPr>
        <w:t>保持积极进取、乐观向上的精神状态，注重身心健康发展，具备较好的自律意识和文明修养水平；</w:t>
      </w:r>
      <w:r>
        <w:rPr>
          <w:rFonts w:hint="eastAsia" w:ascii="仿宋" w:hAnsi="仿宋" w:eastAsia="仿宋"/>
          <w:b w:val="0"/>
          <w:bCs/>
          <w:sz w:val="32"/>
          <w:szCs w:val="32"/>
          <w:highlight w:val="none"/>
        </w:rPr>
        <w:t>（3分）</w:t>
      </w:r>
    </w:p>
    <w:p w14:paraId="364A9190">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8.</w:t>
      </w:r>
      <w:r>
        <w:rPr>
          <w:rFonts w:hint="eastAsia" w:ascii="仿宋" w:hAnsi="仿宋" w:eastAsia="仿宋" w:cs="仿宋"/>
          <w:b w:val="0"/>
          <w:bCs/>
          <w:color w:val="000000"/>
          <w:sz w:val="32"/>
          <w:szCs w:val="32"/>
          <w:highlight w:val="none"/>
        </w:rPr>
        <w:t>能够遵守课堂纪律，不迟到、不早退、不旷课。</w:t>
      </w:r>
      <w:r>
        <w:rPr>
          <w:rFonts w:hint="eastAsia" w:ascii="仿宋" w:hAnsi="仿宋" w:eastAsia="仿宋"/>
          <w:b w:val="0"/>
          <w:bCs/>
          <w:sz w:val="32"/>
          <w:szCs w:val="32"/>
          <w:highlight w:val="none"/>
        </w:rPr>
        <w:t>（3分）</w:t>
      </w:r>
    </w:p>
    <w:p w14:paraId="1BC07F8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四、德育成果性评价总分原则上为40分，累计得分超过40分的以40分计。测评内容主要包括思想进步与理论学习、基层服务与骨干担当、榜样引领与突出荣誉等部分。由各学院测评工作组依据学院测评细则对学生相关表现进行综合评价赋分。</w:t>
      </w:r>
    </w:p>
    <w:p w14:paraId="476BA02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（一）思想进步与理论学习（25分）</w:t>
      </w:r>
    </w:p>
    <w:p w14:paraId="4B254A74">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1.学习表现（15分）</w:t>
      </w:r>
    </w:p>
    <w:p w14:paraId="748A5E30">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由班级工作小组根据学生集体政治理论学习情况进行赋分，评价标准如下：</w:t>
      </w:r>
    </w:p>
    <w:p w14:paraId="26386684">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（1）按时参加政治理论学习；（全勤得6分，未按时参加一次扣2.5分，事假（个人原因）每次扣0.5分，学院原因事假、病假不扣分）</w:t>
      </w:r>
    </w:p>
    <w:p w14:paraId="0331A9E5">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（2）政治理论学习积极交流发言；（发言次数多于班级平均发言次数计5分，低于平均发言次数计3分，没有发言者计0分）（团支部书记根据记录情况进行赋分）</w:t>
      </w:r>
    </w:p>
    <w:p w14:paraId="0A1E372D">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（3）按时上交政治理论个人学习簿；（完成率100%计4分，90%及以上计3分，80%及以上计2分，80%以下及未交者不计分）</w:t>
      </w:r>
    </w:p>
    <w:p w14:paraId="58D90D63">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2.学习成效（5分）</w:t>
      </w:r>
    </w:p>
    <w:p w14:paraId="1A1937FA">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依据应知应会测试平均成绩进行折算；（满分为100分，按照平均成绩</w:t>
      </w:r>
      <w:r>
        <w:rPr>
          <w:rFonts w:hint="eastAsia" w:ascii="仿宋" w:hAnsi="仿宋" w:eastAsia="仿宋" w:cs="仿宋"/>
          <w:b w:val="0"/>
          <w:bCs/>
          <w:color w:val="000000"/>
          <w:sz w:val="32"/>
          <w:szCs w:val="32"/>
          <w:highlight w:val="none"/>
          <w:lang w:val="en-US" w:eastAsia="zh-CN"/>
        </w:rPr>
        <w:t>x</w:t>
      </w:r>
      <w:r>
        <w:rPr>
          <w:rFonts w:hint="eastAsia" w:ascii="仿宋" w:hAnsi="仿宋" w:eastAsia="仿宋" w:cs="仿宋"/>
          <w:b w:val="0"/>
          <w:bCs/>
          <w:color w:val="000000"/>
          <w:sz w:val="32"/>
          <w:szCs w:val="32"/>
          <w:highlight w:val="none"/>
        </w:rPr>
        <w:t>5%折算）</w:t>
      </w:r>
    </w:p>
    <w:p w14:paraId="44B04A4D">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3.积极参加校、院组织的各类思想政治教育、心理健康教育等德育主题活动，经学院认定的；</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校级2分/次</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院级1分/次</w:t>
      </w:r>
      <w:r>
        <w:rPr>
          <w:rFonts w:hint="eastAsia" w:ascii="仿宋" w:hAnsi="仿宋" w:eastAsia="仿宋"/>
          <w:b w:val="0"/>
          <w:bCs/>
          <w:color w:val="000000"/>
          <w:sz w:val="32"/>
          <w:szCs w:val="32"/>
          <w:highlight w:val="none"/>
        </w:rPr>
        <w:t>）</w:t>
      </w:r>
    </w:p>
    <w:p w14:paraId="6C5B5E6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color w:val="000000"/>
          <w:sz w:val="32"/>
          <w:szCs w:val="32"/>
          <w:highlight w:val="none"/>
        </w:rPr>
        <w:t>4.积极响应国家号召，主动报名参军入伍并成功录取者；</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val="en-US" w:eastAsia="zh-CN"/>
        </w:rPr>
        <w:t>5</w:t>
      </w:r>
      <w:r>
        <w:rPr>
          <w:rFonts w:hint="eastAsia" w:ascii="仿宋" w:hAnsi="仿宋" w:eastAsia="仿宋"/>
          <w:b w:val="0"/>
          <w:bCs/>
          <w:color w:val="000000"/>
          <w:sz w:val="32"/>
          <w:szCs w:val="32"/>
          <w:highlight w:val="none"/>
        </w:rPr>
        <w:t>分/次）</w:t>
      </w:r>
      <w:r>
        <w:rPr>
          <w:rFonts w:hint="eastAsia" w:ascii="仿宋" w:hAnsi="仿宋" w:eastAsia="仿宋"/>
          <w:b w:val="0"/>
          <w:bCs/>
          <w:color w:val="000000"/>
          <w:sz w:val="32"/>
          <w:szCs w:val="32"/>
          <w:highlight w:val="none"/>
          <w:lang w:eastAsia="zh-CN"/>
        </w:rPr>
        <w:t>，</w:t>
      </w:r>
      <w:r>
        <w:rPr>
          <w:rFonts w:hint="eastAsia" w:ascii="仿宋" w:hAnsi="仿宋" w:eastAsia="仿宋"/>
          <w:b w:val="0"/>
          <w:bCs/>
          <w:color w:val="000000"/>
          <w:sz w:val="32"/>
          <w:szCs w:val="32"/>
          <w:highlight w:val="none"/>
          <w:lang w:val="en-US" w:eastAsia="zh-CN"/>
        </w:rPr>
        <w:t>未</w:t>
      </w:r>
      <w:r>
        <w:rPr>
          <w:rFonts w:hint="eastAsia" w:ascii="仿宋" w:hAnsi="仿宋" w:eastAsia="仿宋" w:cs="仿宋"/>
          <w:b w:val="0"/>
          <w:bCs/>
          <w:color w:val="000000"/>
          <w:sz w:val="32"/>
          <w:szCs w:val="32"/>
          <w:highlight w:val="none"/>
        </w:rPr>
        <w:t>成功录取者</w:t>
      </w:r>
      <w:r>
        <w:rPr>
          <w:rFonts w:hint="eastAsia" w:ascii="仿宋" w:hAnsi="仿宋" w:eastAsia="仿宋" w:cs="仿宋"/>
          <w:b w:val="0"/>
          <w:bCs/>
          <w:color w:val="000000"/>
          <w:sz w:val="32"/>
          <w:szCs w:val="32"/>
          <w:highlight w:val="none"/>
          <w:lang w:val="en-US" w:eastAsia="zh-CN"/>
        </w:rPr>
        <w:t>加2分。</w:t>
      </w:r>
    </w:p>
    <w:p w14:paraId="2C86EC44">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5.参加入党领航教育、“青马工程”培训</w:t>
      </w:r>
      <w:r>
        <w:rPr>
          <w:rFonts w:hint="eastAsia" w:ascii="仿宋" w:hAnsi="仿宋" w:eastAsia="仿宋" w:cs="仿宋"/>
          <w:b w:val="0"/>
          <w:bCs/>
          <w:color w:val="000000"/>
          <w:sz w:val="32"/>
          <w:szCs w:val="32"/>
          <w:highlight w:val="none"/>
          <w:lang w:eastAsia="zh-CN"/>
        </w:rPr>
        <w:t>、</w:t>
      </w:r>
      <w:r>
        <w:rPr>
          <w:rFonts w:hint="eastAsia" w:ascii="仿宋" w:hAnsi="仿宋" w:eastAsia="仿宋" w:cs="仿宋"/>
          <w:b w:val="0"/>
          <w:bCs/>
          <w:color w:val="000000"/>
          <w:sz w:val="32"/>
          <w:szCs w:val="32"/>
          <w:highlight w:val="none"/>
          <w:lang w:val="en-US" w:eastAsia="zh-CN"/>
        </w:rPr>
        <w:t>微党课大赛</w:t>
      </w:r>
      <w:r>
        <w:rPr>
          <w:rFonts w:hint="eastAsia" w:ascii="仿宋" w:hAnsi="仿宋" w:eastAsia="仿宋" w:cs="仿宋"/>
          <w:b w:val="0"/>
          <w:bCs/>
          <w:color w:val="000000"/>
          <w:sz w:val="32"/>
          <w:szCs w:val="32"/>
          <w:highlight w:val="none"/>
        </w:rPr>
        <w:t>等各类党性教育活动，考核合格；</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校级2分/次</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院级1分/次</w:t>
      </w:r>
      <w:r>
        <w:rPr>
          <w:rFonts w:hint="eastAsia" w:ascii="仿宋" w:hAnsi="仿宋" w:eastAsia="仿宋"/>
          <w:b w:val="0"/>
          <w:bCs/>
          <w:color w:val="000000"/>
          <w:sz w:val="32"/>
          <w:szCs w:val="32"/>
          <w:highlight w:val="none"/>
        </w:rPr>
        <w:t>）</w:t>
      </w:r>
    </w:p>
    <w:p w14:paraId="530987E5">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6.积极参加“就业大学堂”“基层就业引领讲坛”、各类就业实训等活动，经学院认定的；</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校级2分/次</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院级1分/次</w:t>
      </w:r>
      <w:r>
        <w:rPr>
          <w:rFonts w:hint="eastAsia" w:ascii="仿宋" w:hAnsi="仿宋" w:eastAsia="仿宋"/>
          <w:b w:val="0"/>
          <w:bCs/>
          <w:color w:val="000000"/>
          <w:sz w:val="32"/>
          <w:szCs w:val="32"/>
          <w:highlight w:val="none"/>
        </w:rPr>
        <w:t>）</w:t>
      </w:r>
    </w:p>
    <w:p w14:paraId="326FE729">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7.在校级及以上开学典礼、毕业典礼、教师节表彰大会、荣誉校园学生表彰颁奖典礼等重大“典礼育人”场合，作为学生代表积极参与并获表扬。</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val="en-US" w:eastAsia="zh-CN"/>
        </w:rPr>
        <w:t>5</w:t>
      </w:r>
      <w:r>
        <w:rPr>
          <w:rFonts w:hint="eastAsia" w:ascii="仿宋" w:hAnsi="仿宋" w:eastAsia="仿宋"/>
          <w:b w:val="0"/>
          <w:bCs/>
          <w:color w:val="000000"/>
          <w:sz w:val="32"/>
          <w:szCs w:val="32"/>
          <w:highlight w:val="none"/>
        </w:rPr>
        <w:t>分/次）</w:t>
      </w:r>
    </w:p>
    <w:p w14:paraId="683B03FD">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（二）基层服务与骨干担当（10分）</w:t>
      </w:r>
    </w:p>
    <w:p w14:paraId="11ADD7A4">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1.在重要活动、重大灾害期间主动作为，乐于奉献。</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校级2分/次</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院级1分/次</w:t>
      </w:r>
      <w:r>
        <w:rPr>
          <w:rFonts w:hint="eastAsia" w:ascii="仿宋" w:hAnsi="仿宋" w:eastAsia="仿宋"/>
          <w:b w:val="0"/>
          <w:bCs/>
          <w:color w:val="000000"/>
          <w:sz w:val="32"/>
          <w:szCs w:val="32"/>
          <w:highlight w:val="none"/>
        </w:rPr>
        <w:t>）</w:t>
      </w:r>
    </w:p>
    <w:p w14:paraId="2FB115EF">
      <w:pPr>
        <w:pStyle w:val="3"/>
        <w:keepNext w:val="0"/>
        <w:keepLines w:val="0"/>
        <w:pageBreakBefore w:val="0"/>
        <w:widowControl w:val="0"/>
        <w:kinsoku/>
        <w:overflowPunct/>
        <w:topLinePunct w:val="0"/>
        <w:bidi w:val="0"/>
        <w:spacing w:after="120" w:line="560" w:lineRule="exact"/>
        <w:ind w:left="0" w:leftChars="0"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2.参与“一站式”学生社区“常青藤”功能型党支部、红星讲师团、“亘塬下”青年讲师团</w:t>
      </w:r>
      <w:r>
        <w:rPr>
          <w:rFonts w:hint="eastAsia" w:ascii="仿宋" w:hAnsi="仿宋" w:eastAsia="仿宋" w:cs="仿宋"/>
          <w:b w:val="0"/>
          <w:bCs/>
          <w:color w:val="000000"/>
          <w:sz w:val="32"/>
          <w:szCs w:val="32"/>
          <w:highlight w:val="none"/>
          <w:lang w:eastAsia="zh-CN"/>
        </w:rPr>
        <w:t>、</w:t>
      </w:r>
      <w:r>
        <w:rPr>
          <w:rFonts w:hint="eastAsia" w:ascii="仿宋" w:hAnsi="仿宋" w:eastAsia="仿宋" w:cs="仿宋"/>
          <w:b w:val="0"/>
          <w:bCs/>
          <w:color w:val="000000"/>
          <w:sz w:val="32"/>
          <w:szCs w:val="32"/>
          <w:highlight w:val="none"/>
          <w:lang w:val="en-US" w:eastAsia="zh-CN"/>
        </w:rPr>
        <w:t>学业帮扶“小老师”、榜“young”宣讲团</w:t>
      </w:r>
      <w:r>
        <w:rPr>
          <w:rFonts w:hint="eastAsia" w:ascii="仿宋" w:hAnsi="仿宋" w:eastAsia="仿宋" w:cs="仿宋"/>
          <w:b w:val="0"/>
          <w:bCs/>
          <w:color w:val="000000"/>
          <w:sz w:val="32"/>
          <w:szCs w:val="32"/>
          <w:highlight w:val="none"/>
        </w:rPr>
        <w:t>等各类示范性服务活动；（成员加</w:t>
      </w:r>
      <w:r>
        <w:rPr>
          <w:rFonts w:hint="eastAsia" w:ascii="仿宋" w:hAnsi="仿宋" w:eastAsia="仿宋" w:cs="仿宋"/>
          <w:b w:val="0"/>
          <w:bCs/>
          <w:color w:val="000000"/>
          <w:sz w:val="32"/>
          <w:szCs w:val="32"/>
          <w:highlight w:val="none"/>
          <w:lang w:val="en-US" w:eastAsia="zh-CN"/>
        </w:rPr>
        <w:t>3</w:t>
      </w:r>
      <w:r>
        <w:rPr>
          <w:rFonts w:hint="eastAsia" w:ascii="仿宋" w:hAnsi="仿宋" w:eastAsia="仿宋" w:cs="仿宋"/>
          <w:b w:val="0"/>
          <w:bCs/>
          <w:color w:val="000000"/>
          <w:sz w:val="32"/>
          <w:szCs w:val="32"/>
          <w:highlight w:val="none"/>
        </w:rPr>
        <w:t>分，表现优秀的再加1分；上限</w:t>
      </w:r>
      <w:r>
        <w:rPr>
          <w:rFonts w:hint="eastAsia" w:ascii="仿宋" w:hAnsi="仿宋" w:eastAsia="仿宋" w:cs="仿宋"/>
          <w:b w:val="0"/>
          <w:bCs/>
          <w:color w:val="000000"/>
          <w:sz w:val="32"/>
          <w:szCs w:val="32"/>
          <w:highlight w:val="none"/>
          <w:lang w:val="en-US" w:eastAsia="zh-CN"/>
        </w:rPr>
        <w:t>8</w:t>
      </w:r>
      <w:r>
        <w:rPr>
          <w:rFonts w:hint="eastAsia" w:ascii="仿宋" w:hAnsi="仿宋" w:eastAsia="仿宋" w:cs="仿宋"/>
          <w:b w:val="0"/>
          <w:bCs/>
          <w:color w:val="000000"/>
          <w:sz w:val="32"/>
          <w:szCs w:val="32"/>
          <w:highlight w:val="none"/>
        </w:rPr>
        <w:t>分）</w:t>
      </w:r>
    </w:p>
    <w:p w14:paraId="0D141EFA">
      <w:pPr>
        <w:pStyle w:val="3"/>
        <w:keepNext w:val="0"/>
        <w:keepLines w:val="0"/>
        <w:pageBreakBefore w:val="0"/>
        <w:widowControl w:val="0"/>
        <w:kinsoku/>
        <w:overflowPunct/>
        <w:topLinePunct w:val="0"/>
        <w:bidi w:val="0"/>
        <w:spacing w:after="120" w:line="560" w:lineRule="exact"/>
        <w:ind w:left="0" w:leftChars="0" w:firstLine="640" w:firstLineChars="200"/>
        <w:textAlignment w:val="auto"/>
        <w:rPr>
          <w:rFonts w:hint="eastAsia" w:ascii="仿宋" w:hAnsi="仿宋" w:eastAsia="仿宋"/>
          <w:b w:val="0"/>
          <w:bCs/>
          <w:color w:val="000000"/>
          <w:sz w:val="32"/>
          <w:szCs w:val="32"/>
          <w:highlight w:val="none"/>
          <w:lang w:eastAsia="zh-CN"/>
        </w:rPr>
      </w:pPr>
      <w:r>
        <w:rPr>
          <w:rFonts w:hint="eastAsia" w:ascii="仿宋" w:hAnsi="仿宋" w:eastAsia="仿宋" w:cs="仿宋"/>
          <w:b w:val="0"/>
          <w:bCs/>
          <w:color w:val="000000"/>
          <w:sz w:val="32"/>
          <w:szCs w:val="32"/>
          <w:highlight w:val="none"/>
        </w:rPr>
        <w:t>3.担任校、院、班级等各级各类主要学生干部等，能够以身作则，工作积极，热心为同学服务。</w:t>
      </w:r>
      <w:r>
        <w:rPr>
          <w:rFonts w:hint="eastAsia" w:ascii="仿宋" w:hAnsi="仿宋" w:eastAsia="仿宋" w:cs="仿宋"/>
          <w:b w:val="0"/>
          <w:bCs/>
          <w:color w:val="000000"/>
          <w:sz w:val="32"/>
          <w:szCs w:val="32"/>
          <w:highlight w:val="none"/>
          <w:lang w:eastAsia="zh-CN"/>
        </w:rPr>
        <w:t>（</w:t>
      </w:r>
      <w:r>
        <w:rPr>
          <w:rFonts w:hint="eastAsia" w:ascii="仿宋" w:hAnsi="仿宋" w:eastAsia="仿宋" w:cs="仿宋"/>
          <w:b w:val="0"/>
          <w:bCs/>
          <w:color w:val="000000"/>
          <w:sz w:val="32"/>
          <w:szCs w:val="32"/>
          <w:highlight w:val="none"/>
          <w:lang w:val="en-US" w:eastAsia="zh-CN"/>
        </w:rPr>
        <w:t>同类项目只能加最高分，上限8分</w:t>
      </w:r>
      <w:r>
        <w:rPr>
          <w:rFonts w:hint="eastAsia" w:ascii="仿宋" w:hAnsi="仿宋" w:eastAsia="仿宋" w:cs="仿宋"/>
          <w:b w:val="0"/>
          <w:bCs/>
          <w:color w:val="000000"/>
          <w:sz w:val="32"/>
          <w:szCs w:val="32"/>
          <w:highlight w:val="none"/>
          <w:lang w:eastAsia="zh-CN"/>
        </w:rPr>
        <w:t>）</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517"/>
        <w:gridCol w:w="1514"/>
        <w:gridCol w:w="2448"/>
        <w:gridCol w:w="2024"/>
      </w:tblGrid>
      <w:tr w14:paraId="24E1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04" w:type="pct"/>
            <w:tcBorders>
              <w:top w:val="single" w:color="auto" w:sz="4" w:space="0"/>
              <w:left w:val="single" w:color="auto" w:sz="4" w:space="0"/>
              <w:bottom w:val="nil"/>
              <w:right w:val="nil"/>
            </w:tcBorders>
            <w:vAlign w:val="center"/>
          </w:tcPr>
          <w:p w14:paraId="131FA4A7">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b w:val="0"/>
                <w:bCs/>
                <w:sz w:val="32"/>
                <w:highlight w:val="none"/>
              </w:rPr>
              <mc:AlternateContent>
                <mc:Choice Requires="wps">
                  <w:drawing>
                    <wp:anchor distT="0" distB="0" distL="114300" distR="114300" simplePos="0" relativeHeight="251665408" behindDoc="0" locked="0" layoutInCell="1" allowOverlap="1">
                      <wp:simplePos x="0" y="0"/>
                      <wp:positionH relativeFrom="column">
                        <wp:posOffset>-82550</wp:posOffset>
                      </wp:positionH>
                      <wp:positionV relativeFrom="paragraph">
                        <wp:posOffset>5080</wp:posOffset>
                      </wp:positionV>
                      <wp:extent cx="1827530" cy="690880"/>
                      <wp:effectExtent l="4445" t="12065" r="15875" b="20955"/>
                      <wp:wrapNone/>
                      <wp:docPr id="12" name="直接连接符 12"/>
                      <wp:cNvGraphicFramePr/>
                      <a:graphic xmlns:a="http://schemas.openxmlformats.org/drawingml/2006/main">
                        <a:graphicData uri="http://schemas.microsoft.com/office/word/2010/wordprocessingShape">
                          <wps:wsp>
                            <wps:cNvCnPr/>
                            <wps:spPr>
                              <a:xfrm>
                                <a:off x="825500" y="7999095"/>
                                <a:ext cx="1827530" cy="69088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5pt;margin-top:0.4pt;height:54.4pt;width:143.9pt;z-index:251665408;mso-width-relative:page;mso-height-relative:page;" filled="f" stroked="t" coordsize="21600,21600" o:gfxdata="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RC&#10;MA7XAAAACAEAAA8AAAAAAAAAAQAgAAAAIgAAAGRycy9kb3ducmV2LnhtbFBLAQIUABQAAAAIAIdO&#10;4kAihDtu6wEAAK0DAAAOAAAAAAAAAAEAIAAAACYBAABkcnMvZTJvRG9jLnhtbFBLBQYAAAAABgAG&#10;AFkBAACDBQAAAAA=&#10;">
                      <v:fill on="f" focussize="0,0"/>
                      <v:stroke weight="2pt" color="#000000 [3213]" joinstyle="round"/>
                      <v:imagedata o:title=""/>
                      <o:lock v:ext="edit" aspectratio="f"/>
                    </v:line>
                  </w:pict>
                </mc:Fallback>
              </mc:AlternateContent>
            </w:r>
          </w:p>
        </w:tc>
        <w:tc>
          <w:tcPr>
            <w:tcW w:w="848" w:type="pct"/>
            <w:tcBorders>
              <w:top w:val="single" w:color="auto" w:sz="4" w:space="0"/>
              <w:left w:val="nil"/>
              <w:bottom w:val="nil"/>
              <w:right w:val="single" w:color="auto" w:sz="4" w:space="0"/>
            </w:tcBorders>
            <w:vAlign w:val="center"/>
          </w:tcPr>
          <w:p w14:paraId="1902DF17">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hint="eastAsia" w:ascii="仿宋" w:hAnsi="仿宋" w:eastAsia="仿宋"/>
                <w:b w:val="0"/>
                <w:bCs/>
                <w:color w:val="000000"/>
                <w:sz w:val="32"/>
                <w:szCs w:val="32"/>
                <w:highlight w:val="none"/>
                <w:lang w:val="en-US" w:eastAsia="zh-CN"/>
              </w:rPr>
            </w:pPr>
            <w:r>
              <w:rPr>
                <w:rFonts w:hint="eastAsia" w:ascii="仿宋" w:hAnsi="仿宋" w:eastAsia="仿宋"/>
                <w:b w:val="0"/>
                <w:bCs/>
                <w:color w:val="000000"/>
                <w:sz w:val="32"/>
                <w:szCs w:val="32"/>
                <w:highlight w:val="none"/>
              </w:rPr>
              <w:t>分</w:t>
            </w:r>
            <w:r>
              <w:rPr>
                <w:rFonts w:hint="eastAsia" w:ascii="仿宋" w:hAnsi="仿宋" w:eastAsia="仿宋"/>
                <w:b w:val="0"/>
                <w:bCs/>
                <w:color w:val="000000"/>
                <w:sz w:val="32"/>
                <w:szCs w:val="32"/>
                <w:highlight w:val="none"/>
                <w:lang w:val="en-US" w:eastAsia="zh-CN"/>
              </w:rPr>
              <w:t>数</w:t>
            </w:r>
          </w:p>
        </w:tc>
        <w:tc>
          <w:tcPr>
            <w:tcW w:w="846" w:type="pct"/>
            <w:vMerge w:val="restart"/>
            <w:tcBorders>
              <w:left w:val="single" w:color="auto" w:sz="4" w:space="0"/>
            </w:tcBorders>
            <w:vAlign w:val="center"/>
          </w:tcPr>
          <w:p w14:paraId="21B4664F">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lang w:val="en-US" w:eastAsia="zh-CN"/>
              </w:rPr>
              <w:t>3</w:t>
            </w:r>
            <w:r>
              <w:rPr>
                <w:rFonts w:hint="eastAsia" w:ascii="仿宋" w:hAnsi="仿宋" w:eastAsia="仿宋"/>
                <w:b w:val="0"/>
                <w:bCs/>
                <w:color w:val="000000"/>
                <w:sz w:val="32"/>
                <w:szCs w:val="32"/>
                <w:highlight w:val="none"/>
              </w:rPr>
              <w:t>分</w:t>
            </w:r>
          </w:p>
        </w:tc>
        <w:tc>
          <w:tcPr>
            <w:tcW w:w="1368" w:type="pct"/>
            <w:vMerge w:val="restart"/>
            <w:vAlign w:val="center"/>
          </w:tcPr>
          <w:p w14:paraId="5691130A">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lang w:val="en-US" w:eastAsia="zh-CN"/>
              </w:rPr>
              <w:t>2</w:t>
            </w:r>
            <w:r>
              <w:rPr>
                <w:rFonts w:hint="eastAsia" w:ascii="仿宋" w:hAnsi="仿宋" w:eastAsia="仿宋"/>
                <w:b w:val="0"/>
                <w:bCs/>
                <w:color w:val="000000"/>
                <w:sz w:val="32"/>
                <w:szCs w:val="32"/>
                <w:highlight w:val="none"/>
              </w:rPr>
              <w:t>分</w:t>
            </w:r>
          </w:p>
        </w:tc>
        <w:tc>
          <w:tcPr>
            <w:tcW w:w="1131" w:type="pct"/>
            <w:vMerge w:val="restart"/>
            <w:vAlign w:val="center"/>
          </w:tcPr>
          <w:p w14:paraId="50BC6116">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lang w:val="en-US" w:eastAsia="zh-CN"/>
              </w:rPr>
              <w:t>1</w:t>
            </w:r>
            <w:r>
              <w:rPr>
                <w:rFonts w:hint="eastAsia" w:ascii="仿宋" w:hAnsi="仿宋" w:eastAsia="仿宋"/>
                <w:b w:val="0"/>
                <w:bCs/>
                <w:color w:val="000000"/>
                <w:sz w:val="32"/>
                <w:szCs w:val="32"/>
                <w:highlight w:val="none"/>
              </w:rPr>
              <w:t>分</w:t>
            </w:r>
          </w:p>
        </w:tc>
      </w:tr>
      <w:tr w14:paraId="060B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04" w:type="pct"/>
            <w:tcBorders>
              <w:top w:val="nil"/>
              <w:left w:val="single" w:color="auto" w:sz="4" w:space="0"/>
              <w:bottom w:val="nil"/>
              <w:right w:val="nil"/>
            </w:tcBorders>
            <w:vAlign w:val="center"/>
          </w:tcPr>
          <w:p w14:paraId="180D0A25">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hint="eastAsia" w:ascii="仿宋" w:hAnsi="仿宋" w:eastAsia="仿宋"/>
                <w:b w:val="0"/>
                <w:bCs/>
                <w:color w:val="000000"/>
                <w:sz w:val="32"/>
                <w:szCs w:val="32"/>
                <w:highlight w:val="none"/>
                <w:lang w:val="en-US" w:eastAsia="zh-CN"/>
              </w:rPr>
            </w:pPr>
            <w:r>
              <w:rPr>
                <w:rFonts w:hint="eastAsia" w:ascii="仿宋" w:hAnsi="仿宋" w:eastAsia="仿宋"/>
                <w:b w:val="0"/>
                <w:bCs/>
                <w:color w:val="000000"/>
                <w:sz w:val="32"/>
                <w:szCs w:val="32"/>
                <w:highlight w:val="none"/>
              </w:rPr>
              <w:t>类</w:t>
            </w:r>
            <w:r>
              <w:rPr>
                <w:rFonts w:hint="eastAsia" w:ascii="仿宋" w:hAnsi="仿宋" w:eastAsia="仿宋"/>
                <w:b w:val="0"/>
                <w:bCs/>
                <w:color w:val="000000"/>
                <w:sz w:val="32"/>
                <w:szCs w:val="32"/>
                <w:highlight w:val="none"/>
                <w:lang w:val="en-US" w:eastAsia="zh-CN"/>
              </w:rPr>
              <w:t>别</w:t>
            </w:r>
          </w:p>
        </w:tc>
        <w:tc>
          <w:tcPr>
            <w:tcW w:w="848" w:type="pct"/>
            <w:tcBorders>
              <w:top w:val="nil"/>
              <w:left w:val="nil"/>
              <w:bottom w:val="nil"/>
              <w:right w:val="single" w:color="auto" w:sz="4" w:space="0"/>
            </w:tcBorders>
            <w:vAlign w:val="center"/>
          </w:tcPr>
          <w:p w14:paraId="0AC91763">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p>
        </w:tc>
        <w:tc>
          <w:tcPr>
            <w:tcW w:w="846" w:type="pct"/>
            <w:vMerge w:val="continue"/>
            <w:tcBorders>
              <w:left w:val="single" w:color="auto" w:sz="4" w:space="0"/>
            </w:tcBorders>
            <w:vAlign w:val="center"/>
          </w:tcPr>
          <w:p w14:paraId="6D2C1E9A">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p>
        </w:tc>
        <w:tc>
          <w:tcPr>
            <w:tcW w:w="1368" w:type="pct"/>
            <w:vMerge w:val="continue"/>
            <w:vAlign w:val="center"/>
          </w:tcPr>
          <w:p w14:paraId="39D79905">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p>
        </w:tc>
        <w:tc>
          <w:tcPr>
            <w:tcW w:w="1131" w:type="pct"/>
            <w:vMerge w:val="continue"/>
            <w:vAlign w:val="center"/>
          </w:tcPr>
          <w:p w14:paraId="51C299F6">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p>
        </w:tc>
      </w:tr>
      <w:tr w14:paraId="1214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2" w:type="pct"/>
            <w:gridSpan w:val="2"/>
            <w:tcBorders>
              <w:top w:val="single" w:color="auto" w:sz="4" w:space="0"/>
            </w:tcBorders>
            <w:vAlign w:val="center"/>
          </w:tcPr>
          <w:p w14:paraId="288B8339">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校学生会</w:t>
            </w:r>
          </w:p>
        </w:tc>
        <w:tc>
          <w:tcPr>
            <w:tcW w:w="846" w:type="pct"/>
            <w:vAlign w:val="center"/>
          </w:tcPr>
          <w:p w14:paraId="23F3040F">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主席团</w:t>
            </w:r>
          </w:p>
        </w:tc>
        <w:tc>
          <w:tcPr>
            <w:tcW w:w="1368" w:type="pct"/>
            <w:vAlign w:val="center"/>
          </w:tcPr>
          <w:p w14:paraId="3CEC76B5">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负责人</w:t>
            </w:r>
          </w:p>
        </w:tc>
        <w:tc>
          <w:tcPr>
            <w:tcW w:w="1131" w:type="pct"/>
            <w:vAlign w:val="center"/>
          </w:tcPr>
          <w:p w14:paraId="37F73702">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志愿者</w:t>
            </w:r>
          </w:p>
        </w:tc>
      </w:tr>
      <w:tr w14:paraId="3587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2" w:type="pct"/>
            <w:gridSpan w:val="2"/>
            <w:vAlign w:val="center"/>
          </w:tcPr>
          <w:p w14:paraId="0CA9D9DB">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院学生会</w:t>
            </w:r>
          </w:p>
        </w:tc>
        <w:tc>
          <w:tcPr>
            <w:tcW w:w="846" w:type="pct"/>
            <w:shd w:val="clear" w:color="auto" w:fill="auto"/>
            <w:vAlign w:val="center"/>
          </w:tcPr>
          <w:p w14:paraId="665314F9">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主席团</w:t>
            </w:r>
          </w:p>
        </w:tc>
        <w:tc>
          <w:tcPr>
            <w:tcW w:w="1368" w:type="pct"/>
            <w:shd w:val="clear" w:color="auto" w:fill="auto"/>
            <w:vAlign w:val="center"/>
          </w:tcPr>
          <w:p w14:paraId="26359F27">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负责人</w:t>
            </w:r>
          </w:p>
        </w:tc>
        <w:tc>
          <w:tcPr>
            <w:tcW w:w="1131" w:type="pct"/>
            <w:shd w:val="clear" w:color="auto" w:fill="auto"/>
            <w:vAlign w:val="center"/>
          </w:tcPr>
          <w:p w14:paraId="2EA1CFF4">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志愿者</w:t>
            </w:r>
          </w:p>
        </w:tc>
      </w:tr>
      <w:tr w14:paraId="4C9A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2" w:type="pct"/>
            <w:gridSpan w:val="2"/>
            <w:vAlign w:val="center"/>
          </w:tcPr>
          <w:p w14:paraId="218FA965">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班级</w:t>
            </w:r>
          </w:p>
        </w:tc>
        <w:tc>
          <w:tcPr>
            <w:tcW w:w="846" w:type="pct"/>
            <w:vAlign w:val="center"/>
          </w:tcPr>
          <w:p w14:paraId="593121CA">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班长支书</w:t>
            </w:r>
          </w:p>
        </w:tc>
        <w:tc>
          <w:tcPr>
            <w:tcW w:w="1368" w:type="pct"/>
            <w:vAlign w:val="center"/>
          </w:tcPr>
          <w:p w14:paraId="1C64880D">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学习</w:t>
            </w:r>
            <w:r>
              <w:rPr>
                <w:rFonts w:hint="eastAsia" w:ascii="仿宋" w:hAnsi="仿宋" w:eastAsia="仿宋"/>
                <w:b w:val="0"/>
                <w:bCs/>
                <w:color w:val="000000"/>
                <w:sz w:val="32"/>
                <w:szCs w:val="32"/>
                <w:highlight w:val="none"/>
                <w:lang w:eastAsia="zh-CN"/>
              </w:rPr>
              <w:t>、</w:t>
            </w:r>
            <w:r>
              <w:rPr>
                <w:rFonts w:hint="eastAsia" w:ascii="仿宋" w:hAnsi="仿宋" w:eastAsia="仿宋"/>
                <w:b w:val="0"/>
                <w:bCs/>
                <w:color w:val="000000"/>
                <w:sz w:val="32"/>
                <w:szCs w:val="32"/>
                <w:highlight w:val="none"/>
                <w:lang w:val="en-US" w:eastAsia="zh-CN"/>
              </w:rPr>
              <w:t>心理</w:t>
            </w:r>
            <w:r>
              <w:rPr>
                <w:rFonts w:hint="eastAsia" w:ascii="仿宋" w:hAnsi="仿宋" w:eastAsia="仿宋"/>
                <w:b w:val="0"/>
                <w:bCs/>
                <w:color w:val="000000"/>
                <w:sz w:val="32"/>
                <w:szCs w:val="32"/>
                <w:highlight w:val="none"/>
              </w:rPr>
              <w:t>委员</w:t>
            </w:r>
          </w:p>
        </w:tc>
        <w:tc>
          <w:tcPr>
            <w:tcW w:w="1131" w:type="pct"/>
            <w:vAlign w:val="center"/>
          </w:tcPr>
          <w:p w14:paraId="0D0669C2">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其他班委</w:t>
            </w:r>
          </w:p>
        </w:tc>
      </w:tr>
      <w:tr w14:paraId="39D9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2" w:type="pct"/>
            <w:gridSpan w:val="2"/>
            <w:vAlign w:val="center"/>
          </w:tcPr>
          <w:p w14:paraId="54C488DD">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记者团</w:t>
            </w:r>
          </w:p>
        </w:tc>
        <w:tc>
          <w:tcPr>
            <w:tcW w:w="846" w:type="pct"/>
            <w:shd w:val="clear" w:color="auto" w:fill="auto"/>
            <w:vAlign w:val="center"/>
          </w:tcPr>
          <w:p w14:paraId="5F53C2F2">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主席团</w:t>
            </w:r>
          </w:p>
        </w:tc>
        <w:tc>
          <w:tcPr>
            <w:tcW w:w="1368" w:type="pct"/>
            <w:shd w:val="clear" w:color="auto" w:fill="auto"/>
            <w:vAlign w:val="center"/>
          </w:tcPr>
          <w:p w14:paraId="4AC344AD">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负责人</w:t>
            </w:r>
          </w:p>
        </w:tc>
        <w:tc>
          <w:tcPr>
            <w:tcW w:w="1131" w:type="pct"/>
            <w:shd w:val="clear" w:color="auto" w:fill="auto"/>
            <w:vAlign w:val="center"/>
          </w:tcPr>
          <w:p w14:paraId="5632DCDA">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志愿者</w:t>
            </w:r>
          </w:p>
        </w:tc>
      </w:tr>
      <w:tr w14:paraId="6AFD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2" w:type="pct"/>
            <w:gridSpan w:val="2"/>
            <w:vAlign w:val="center"/>
          </w:tcPr>
          <w:p w14:paraId="52A5AC61">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阳光团工委</w:t>
            </w:r>
          </w:p>
        </w:tc>
        <w:tc>
          <w:tcPr>
            <w:tcW w:w="846" w:type="pct"/>
            <w:vAlign w:val="center"/>
          </w:tcPr>
          <w:p w14:paraId="43905456">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副书记</w:t>
            </w:r>
          </w:p>
        </w:tc>
        <w:tc>
          <w:tcPr>
            <w:tcW w:w="1368" w:type="pct"/>
            <w:vAlign w:val="center"/>
          </w:tcPr>
          <w:p w14:paraId="4BAD1EEE">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负责人</w:t>
            </w:r>
          </w:p>
        </w:tc>
        <w:tc>
          <w:tcPr>
            <w:tcW w:w="1131" w:type="pct"/>
            <w:vAlign w:val="center"/>
          </w:tcPr>
          <w:p w14:paraId="73CF087F">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志愿者</w:t>
            </w:r>
          </w:p>
        </w:tc>
      </w:tr>
      <w:tr w14:paraId="69CF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2" w:type="pct"/>
            <w:gridSpan w:val="2"/>
            <w:vAlign w:val="center"/>
          </w:tcPr>
          <w:p w14:paraId="580B8807">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hint="default" w:ascii="仿宋" w:hAnsi="仿宋" w:eastAsia="仿宋"/>
                <w:b w:val="0"/>
                <w:bCs/>
                <w:color w:val="000000"/>
                <w:sz w:val="32"/>
                <w:szCs w:val="32"/>
                <w:highlight w:val="none"/>
                <w:lang w:val="en-US" w:eastAsia="zh-CN"/>
              </w:rPr>
            </w:pPr>
            <w:r>
              <w:rPr>
                <w:rFonts w:hint="eastAsia" w:ascii="仿宋" w:hAnsi="仿宋" w:eastAsia="仿宋"/>
                <w:b w:val="0"/>
                <w:bCs/>
                <w:color w:val="000000"/>
                <w:sz w:val="32"/>
                <w:szCs w:val="32"/>
                <w:highlight w:val="none"/>
                <w:lang w:val="en-US" w:eastAsia="zh-CN"/>
              </w:rPr>
              <w:t>学生党建中心</w:t>
            </w:r>
          </w:p>
        </w:tc>
        <w:tc>
          <w:tcPr>
            <w:tcW w:w="846" w:type="pct"/>
            <w:vAlign w:val="center"/>
          </w:tcPr>
          <w:p w14:paraId="65DBA844">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hint="eastAsia" w:ascii="仿宋" w:hAnsi="仿宋" w:eastAsia="仿宋"/>
                <w:b w:val="0"/>
                <w:bCs/>
                <w:color w:val="000000"/>
                <w:sz w:val="32"/>
                <w:szCs w:val="32"/>
                <w:highlight w:val="none"/>
                <w:lang w:val="en-US" w:eastAsia="zh-CN"/>
              </w:rPr>
            </w:pPr>
            <w:r>
              <w:rPr>
                <w:rFonts w:hint="eastAsia" w:ascii="仿宋" w:hAnsi="仿宋" w:eastAsia="仿宋"/>
                <w:b w:val="0"/>
                <w:bCs/>
                <w:color w:val="000000"/>
                <w:sz w:val="32"/>
                <w:szCs w:val="32"/>
                <w:highlight w:val="none"/>
                <w:lang w:val="en-US" w:eastAsia="zh-CN"/>
              </w:rPr>
              <w:t>主任</w:t>
            </w:r>
          </w:p>
        </w:tc>
        <w:tc>
          <w:tcPr>
            <w:tcW w:w="1368" w:type="pct"/>
            <w:vAlign w:val="center"/>
          </w:tcPr>
          <w:p w14:paraId="3D605311">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hint="eastAsia" w:ascii="仿宋" w:hAnsi="仿宋" w:eastAsia="仿宋"/>
                <w:b w:val="0"/>
                <w:bCs/>
                <w:color w:val="000000"/>
                <w:sz w:val="32"/>
                <w:szCs w:val="32"/>
                <w:highlight w:val="none"/>
                <w:lang w:val="en-US" w:eastAsia="zh-CN"/>
              </w:rPr>
            </w:pPr>
            <w:r>
              <w:rPr>
                <w:rFonts w:hint="eastAsia" w:ascii="仿宋" w:hAnsi="仿宋" w:eastAsia="仿宋"/>
                <w:b w:val="0"/>
                <w:bCs/>
                <w:color w:val="000000"/>
                <w:sz w:val="32"/>
                <w:szCs w:val="32"/>
                <w:highlight w:val="none"/>
                <w:lang w:val="en-US" w:eastAsia="zh-CN"/>
              </w:rPr>
              <w:t>副主任</w:t>
            </w:r>
          </w:p>
        </w:tc>
        <w:tc>
          <w:tcPr>
            <w:tcW w:w="1131" w:type="pct"/>
            <w:vAlign w:val="center"/>
          </w:tcPr>
          <w:p w14:paraId="1D2A3970">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hint="eastAsia" w:ascii="仿宋" w:hAnsi="仿宋" w:eastAsia="仿宋"/>
                <w:b w:val="0"/>
                <w:bCs/>
                <w:color w:val="000000"/>
                <w:sz w:val="32"/>
                <w:szCs w:val="32"/>
                <w:highlight w:val="none"/>
                <w:lang w:val="en-US" w:eastAsia="zh-CN"/>
              </w:rPr>
            </w:pPr>
            <w:r>
              <w:rPr>
                <w:rFonts w:hint="eastAsia" w:ascii="仿宋" w:hAnsi="仿宋" w:eastAsia="仿宋"/>
                <w:b w:val="0"/>
                <w:bCs/>
                <w:color w:val="000000"/>
                <w:sz w:val="32"/>
                <w:szCs w:val="32"/>
                <w:highlight w:val="none"/>
                <w:lang w:val="en-US" w:eastAsia="zh-CN"/>
              </w:rPr>
              <w:t>志愿者</w:t>
            </w:r>
          </w:p>
        </w:tc>
      </w:tr>
      <w:tr w14:paraId="3AD4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2" w:type="pct"/>
            <w:gridSpan w:val="2"/>
            <w:vAlign w:val="center"/>
          </w:tcPr>
          <w:p w14:paraId="6DEF9B1A">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“智汇经纬”学坊</w:t>
            </w:r>
          </w:p>
        </w:tc>
        <w:tc>
          <w:tcPr>
            <w:tcW w:w="846" w:type="pct"/>
            <w:vAlign w:val="center"/>
          </w:tcPr>
          <w:p w14:paraId="406DE462">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团长</w:t>
            </w:r>
          </w:p>
        </w:tc>
        <w:tc>
          <w:tcPr>
            <w:tcW w:w="1368" w:type="pct"/>
            <w:vAlign w:val="center"/>
          </w:tcPr>
          <w:p w14:paraId="02AFC210">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组长</w:t>
            </w:r>
          </w:p>
        </w:tc>
        <w:tc>
          <w:tcPr>
            <w:tcW w:w="1131" w:type="pct"/>
            <w:vAlign w:val="center"/>
          </w:tcPr>
          <w:p w14:paraId="165EE936">
            <w:pPr>
              <w:pStyle w:val="3"/>
              <w:keepNext w:val="0"/>
              <w:keepLines w:val="0"/>
              <w:pageBreakBefore w:val="0"/>
              <w:widowControl w:val="0"/>
              <w:kinsoku/>
              <w:wordWrap/>
              <w:overflowPunct/>
              <w:topLinePunct w:val="0"/>
              <w:autoSpaceDE/>
              <w:autoSpaceDN/>
              <w:bidi w:val="0"/>
              <w:adjustRightInd/>
              <w:snapToGrid/>
              <w:spacing w:after="120" w:line="400" w:lineRule="exact"/>
              <w:ind w:left="0" w:leftChars="0"/>
              <w:jc w:val="center"/>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组员</w:t>
            </w:r>
          </w:p>
        </w:tc>
      </w:tr>
    </w:tbl>
    <w:p w14:paraId="53EDB844">
      <w:pPr>
        <w:pStyle w:val="3"/>
        <w:keepNext w:val="0"/>
        <w:keepLines w:val="0"/>
        <w:pageBreakBefore w:val="0"/>
        <w:widowControl w:val="0"/>
        <w:kinsoku/>
        <w:overflowPunct/>
        <w:topLinePunct w:val="0"/>
        <w:bidi w:val="0"/>
        <w:spacing w:after="120" w:line="560" w:lineRule="exact"/>
        <w:ind w:left="0" w:leftChars="0" w:firstLine="640" w:firstLineChars="200"/>
        <w:textAlignment w:val="auto"/>
        <w:rPr>
          <w:rFonts w:hint="default" w:ascii="仿宋" w:hAnsi="仿宋" w:eastAsia="仿宋"/>
          <w:b w:val="0"/>
          <w:bCs/>
          <w:color w:val="000000"/>
          <w:sz w:val="32"/>
          <w:szCs w:val="32"/>
          <w:highlight w:val="none"/>
          <w:lang w:val="en-US" w:eastAsia="zh-CN"/>
        </w:rPr>
      </w:pPr>
      <w:r>
        <w:rPr>
          <w:rFonts w:hint="eastAsia" w:ascii="仿宋" w:hAnsi="仿宋" w:eastAsia="仿宋"/>
          <w:b w:val="0"/>
          <w:bCs/>
          <w:color w:val="000000"/>
          <w:sz w:val="32"/>
          <w:szCs w:val="32"/>
          <w:highlight w:val="none"/>
          <w:lang w:val="en-US" w:eastAsia="zh-CN"/>
        </w:rPr>
        <w:t>辅导员助理等其他学生骨干加2分。</w:t>
      </w:r>
    </w:p>
    <w:p w14:paraId="7AB4DD2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4.积极参与平安校园建设活动、讲座、志愿服务等；</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校级2分/次</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院级1分/次</w:t>
      </w:r>
      <w:r>
        <w:rPr>
          <w:rFonts w:hint="eastAsia" w:ascii="仿宋" w:hAnsi="仿宋" w:eastAsia="仿宋"/>
          <w:b w:val="0"/>
          <w:bCs/>
          <w:color w:val="000000"/>
          <w:sz w:val="32"/>
          <w:szCs w:val="32"/>
          <w:highlight w:val="none"/>
        </w:rPr>
        <w:t>）</w:t>
      </w:r>
    </w:p>
    <w:p w14:paraId="26C9CFBD">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5.能及时发现校园交通、宿舍消防、实验室等方面安全隐患，积极上报并采取有效干预措施。（</w:t>
      </w:r>
      <w:r>
        <w:rPr>
          <w:rFonts w:hint="eastAsia" w:ascii="仿宋" w:hAnsi="仿宋" w:eastAsia="仿宋" w:cs="仿宋"/>
          <w:b w:val="0"/>
          <w:bCs/>
          <w:color w:val="000000"/>
          <w:sz w:val="32"/>
          <w:szCs w:val="32"/>
          <w:highlight w:val="none"/>
          <w:lang w:val="en-US" w:eastAsia="zh-CN"/>
        </w:rPr>
        <w:t>4</w:t>
      </w:r>
      <w:r>
        <w:rPr>
          <w:rFonts w:hint="eastAsia" w:ascii="仿宋" w:hAnsi="仿宋" w:eastAsia="仿宋" w:cs="仿宋"/>
          <w:b w:val="0"/>
          <w:bCs/>
          <w:color w:val="000000"/>
          <w:sz w:val="32"/>
          <w:szCs w:val="32"/>
          <w:highlight w:val="none"/>
        </w:rPr>
        <w:t>分/次）</w:t>
      </w:r>
    </w:p>
    <w:p w14:paraId="0BBD20C8">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（三）榜样引领与突出荣誉（5分）</w:t>
      </w:r>
    </w:p>
    <w:p w14:paraId="71F059DA">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1.在维护国家利益、社会稳定和民族团结等方面表现突出，受到有关部门表彰；（国家级5分/次，省级4分/次，地市级3分/次，区级</w:t>
      </w:r>
      <w:r>
        <w:rPr>
          <w:rFonts w:hint="eastAsia" w:ascii="仿宋" w:hAnsi="仿宋" w:eastAsia="仿宋" w:cs="仿宋"/>
          <w:b w:val="0"/>
          <w:bCs/>
          <w:color w:val="000000"/>
          <w:sz w:val="32"/>
          <w:szCs w:val="32"/>
          <w:highlight w:val="none"/>
          <w:lang w:val="en-US" w:eastAsia="zh-CN"/>
        </w:rPr>
        <w:t>2.5</w:t>
      </w:r>
      <w:r>
        <w:rPr>
          <w:rFonts w:hint="eastAsia" w:ascii="仿宋" w:hAnsi="仿宋" w:eastAsia="仿宋" w:cs="仿宋"/>
          <w:b w:val="0"/>
          <w:bCs/>
          <w:color w:val="000000"/>
          <w:sz w:val="32"/>
          <w:szCs w:val="32"/>
          <w:highlight w:val="none"/>
        </w:rPr>
        <w:t>分/次，</w:t>
      </w:r>
      <w:r>
        <w:rPr>
          <w:rFonts w:hint="eastAsia" w:ascii="仿宋" w:hAnsi="仿宋" w:eastAsia="仿宋"/>
          <w:b w:val="0"/>
          <w:bCs/>
          <w:color w:val="000000"/>
          <w:sz w:val="32"/>
          <w:szCs w:val="32"/>
          <w:highlight w:val="none"/>
          <w:lang w:eastAsia="zh-CN"/>
        </w:rPr>
        <w:t>校级2分/次</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p>
    <w:p w14:paraId="5E74AC3D">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2.在助人为乐、见义勇为、诚实守信、孝老爱亲、拾金不昧等方面表现突出，受到相关部门、企事业单位通报褒扬、新闻媒体报道褒扬或校外来信表扬；（国家级5分/次，省级4分/次，地市级3分/次，区级2</w:t>
      </w:r>
      <w:r>
        <w:rPr>
          <w:rFonts w:hint="eastAsia" w:ascii="仿宋" w:hAnsi="仿宋" w:eastAsia="仿宋" w:cs="仿宋"/>
          <w:b w:val="0"/>
          <w:bCs/>
          <w:color w:val="000000"/>
          <w:sz w:val="32"/>
          <w:szCs w:val="32"/>
          <w:highlight w:val="none"/>
          <w:lang w:val="en-US" w:eastAsia="zh-CN"/>
        </w:rPr>
        <w:t>.5</w:t>
      </w:r>
      <w:r>
        <w:rPr>
          <w:rFonts w:hint="eastAsia" w:ascii="仿宋" w:hAnsi="仿宋" w:eastAsia="仿宋" w:cs="仿宋"/>
          <w:b w:val="0"/>
          <w:bCs/>
          <w:color w:val="000000"/>
          <w:sz w:val="32"/>
          <w:szCs w:val="32"/>
          <w:highlight w:val="none"/>
        </w:rPr>
        <w:t>分/次，</w:t>
      </w:r>
      <w:r>
        <w:rPr>
          <w:rFonts w:hint="eastAsia" w:ascii="仿宋" w:hAnsi="仿宋" w:eastAsia="仿宋"/>
          <w:b w:val="0"/>
          <w:bCs/>
          <w:color w:val="000000"/>
          <w:sz w:val="32"/>
          <w:szCs w:val="32"/>
          <w:highlight w:val="none"/>
          <w:lang w:eastAsia="zh-CN"/>
        </w:rPr>
        <w:t>校级2分/次</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p>
    <w:p w14:paraId="0A37BB2B">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3.获得国家级、省级、地市级各类综合与单项个人荣誉；（国家级5分/次，省级4分/次，地市级3分/次）</w:t>
      </w:r>
    </w:p>
    <w:p w14:paraId="7F308068">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4.个人或作为集体成员获得校级学生荣誉表彰奖励各类别综合与单项荣誉。（</w:t>
      </w:r>
      <w:r>
        <w:rPr>
          <w:rFonts w:hint="eastAsia" w:ascii="仿宋" w:hAnsi="仿宋" w:eastAsia="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p>
    <w:p w14:paraId="1D447A8C">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（四）经学院认定的其他加分项（上限10分）</w:t>
      </w:r>
    </w:p>
    <w:p w14:paraId="7BB16DD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default"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1.其他经学院认定的思政类活动（校级2分/次，院级1分/次）</w:t>
      </w:r>
    </w:p>
    <w:p w14:paraId="5FD21944">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五、德育扣分项原则上上限为10分，累计扣分超过10分的以10分计。</w:t>
      </w:r>
    </w:p>
    <w:p w14:paraId="0E633274">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（一）违规长期占用教室、自习室、图书馆</w:t>
      </w:r>
      <w:r>
        <w:rPr>
          <w:rFonts w:hint="eastAsia" w:ascii="仿宋" w:hAnsi="仿宋" w:eastAsia="仿宋" w:cs="仿宋"/>
          <w:b w:val="0"/>
          <w:bCs/>
          <w:color w:val="000000"/>
          <w:sz w:val="32"/>
          <w:szCs w:val="32"/>
          <w:highlight w:val="none"/>
          <w:lang w:eastAsia="zh-CN"/>
        </w:rPr>
        <w:t>、</w:t>
      </w:r>
      <w:r>
        <w:rPr>
          <w:rFonts w:hint="eastAsia" w:ascii="仿宋" w:hAnsi="仿宋" w:eastAsia="仿宋" w:cs="仿宋"/>
          <w:b w:val="0"/>
          <w:bCs/>
          <w:color w:val="000000"/>
          <w:sz w:val="32"/>
          <w:szCs w:val="32"/>
          <w:highlight w:val="none"/>
          <w:lang w:val="en-US" w:eastAsia="zh-CN"/>
        </w:rPr>
        <w:t>学院自习室</w:t>
      </w:r>
      <w:r>
        <w:rPr>
          <w:rFonts w:hint="eastAsia" w:ascii="仿宋" w:hAnsi="仿宋" w:eastAsia="仿宋" w:cs="仿宋"/>
          <w:b w:val="0"/>
          <w:bCs/>
          <w:color w:val="000000"/>
          <w:sz w:val="32"/>
          <w:szCs w:val="32"/>
          <w:highlight w:val="none"/>
        </w:rPr>
        <w:t>等公共资源；（1分/次）</w:t>
      </w:r>
    </w:p>
    <w:p w14:paraId="22B7AB7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default"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（二）学院所发各类收集表（如辅导猫、心理测评等）填写不及时；（2分/次）</w:t>
      </w:r>
    </w:p>
    <w:p w14:paraId="1580E32A">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（三）集体观念淡薄，存在言行举止不端、损害他人或集体利益等有悖社会主义核心价值观的行为；（2分/次）</w:t>
      </w:r>
    </w:p>
    <w:p w14:paraId="7A3BA40A">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（四）无故不参加晚自习、不参加集体活动，假期结束后无故不按时返校；（2分/次）</w:t>
      </w:r>
    </w:p>
    <w:p w14:paraId="5AFF3E7D">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（五）所在宿舍在星级文明宿舍评比中未达标，无故晚归或无故夜不归宿，私自校外住宿等；（2分/次）</w:t>
      </w:r>
    </w:p>
    <w:p w14:paraId="431934B1">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（六）安全观念淡漠，在宿舍、实验室等公共空间违规使用大功率电器等；（2分/次）</w:t>
      </w:r>
    </w:p>
    <w:p w14:paraId="4E81D9B0">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（七）在校园交通治理中，违反校园交通安全相关规定的；（2分/次）</w:t>
      </w:r>
    </w:p>
    <w:p w14:paraId="5EA2CBD9">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val="en-US" w:eastAsia="zh-CN"/>
        </w:rPr>
        <w:t>八</w:t>
      </w:r>
      <w:r>
        <w:rPr>
          <w:rFonts w:hint="eastAsia" w:ascii="仿宋" w:hAnsi="仿宋" w:eastAsia="仿宋" w:cs="仿宋"/>
          <w:b w:val="0"/>
          <w:bCs/>
          <w:color w:val="000000"/>
          <w:sz w:val="32"/>
          <w:szCs w:val="32"/>
          <w:highlight w:val="none"/>
        </w:rPr>
        <w:t>）不遵守国家和学校关于网络使用的有关规定，登录非法网站和浏览、传播非法文字、音频、视频资料等；（2分/次）</w:t>
      </w:r>
    </w:p>
    <w:p w14:paraId="652FC57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val="en-US" w:eastAsia="zh-CN"/>
        </w:rPr>
        <w:t>九</w:t>
      </w:r>
      <w:r>
        <w:rPr>
          <w:rFonts w:hint="eastAsia" w:ascii="仿宋" w:hAnsi="仿宋" w:eastAsia="仿宋" w:cs="仿宋"/>
          <w:b w:val="0"/>
          <w:bCs/>
          <w:color w:val="000000"/>
          <w:sz w:val="32"/>
          <w:szCs w:val="32"/>
          <w:highlight w:val="none"/>
        </w:rPr>
        <w:t>）缺乏诚信，在贫困生认定、综合素质能力测评、各类评优评先、体质健康测试</w:t>
      </w:r>
      <w:r>
        <w:rPr>
          <w:rFonts w:hint="eastAsia" w:ascii="仿宋" w:hAnsi="仿宋" w:eastAsia="仿宋" w:cs="仿宋"/>
          <w:b w:val="0"/>
          <w:bCs/>
          <w:color w:val="000000"/>
          <w:sz w:val="32"/>
          <w:szCs w:val="32"/>
          <w:highlight w:val="none"/>
          <w:lang w:eastAsia="zh-CN"/>
        </w:rPr>
        <w:t>、</w:t>
      </w:r>
      <w:r>
        <w:rPr>
          <w:rFonts w:hint="eastAsia" w:ascii="仿宋" w:hAnsi="仿宋" w:eastAsia="仿宋" w:cs="仿宋"/>
          <w:b w:val="0"/>
          <w:bCs/>
          <w:color w:val="000000"/>
          <w:sz w:val="32"/>
          <w:szCs w:val="32"/>
          <w:highlight w:val="none"/>
          <w:lang w:val="en-US" w:eastAsia="zh-CN"/>
        </w:rPr>
        <w:t>乐跑</w:t>
      </w:r>
      <w:r>
        <w:rPr>
          <w:rFonts w:hint="eastAsia" w:ascii="仿宋" w:hAnsi="仿宋" w:eastAsia="仿宋" w:cs="仿宋"/>
          <w:b w:val="0"/>
          <w:bCs/>
          <w:color w:val="000000"/>
          <w:sz w:val="32"/>
          <w:szCs w:val="32"/>
          <w:highlight w:val="none"/>
        </w:rPr>
        <w:t>等工作中存在弄虚作假行为；（3分/次）</w:t>
      </w:r>
    </w:p>
    <w:p w14:paraId="0097AA12">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val="en-US" w:eastAsia="zh-CN"/>
        </w:rPr>
        <w:t>十</w:t>
      </w:r>
      <w:r>
        <w:rPr>
          <w:rFonts w:hint="eastAsia" w:ascii="仿宋" w:hAnsi="仿宋" w:eastAsia="仿宋" w:cs="仿宋"/>
          <w:b w:val="0"/>
          <w:bCs/>
          <w:color w:val="000000"/>
          <w:sz w:val="32"/>
          <w:szCs w:val="32"/>
          <w:highlight w:val="none"/>
        </w:rPr>
        <w:t>）有违反校纪校规的行为，造成不良影响的；受到学校纪律处分或学院通报批评；（3分/次）</w:t>
      </w:r>
    </w:p>
    <w:p w14:paraId="4FA9218C">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（十</w:t>
      </w:r>
      <w:r>
        <w:rPr>
          <w:rFonts w:hint="eastAsia" w:ascii="仿宋" w:hAnsi="仿宋" w:eastAsia="仿宋" w:cs="仿宋"/>
          <w:b w:val="0"/>
          <w:bCs/>
          <w:color w:val="000000"/>
          <w:sz w:val="32"/>
          <w:szCs w:val="32"/>
          <w:highlight w:val="none"/>
          <w:lang w:val="en-US" w:eastAsia="zh-CN"/>
        </w:rPr>
        <w:t>一</w:t>
      </w:r>
      <w:r>
        <w:rPr>
          <w:rFonts w:hint="eastAsia" w:ascii="仿宋" w:hAnsi="仿宋" w:eastAsia="仿宋" w:cs="仿宋"/>
          <w:b w:val="0"/>
          <w:bCs/>
          <w:color w:val="000000"/>
          <w:sz w:val="32"/>
          <w:szCs w:val="32"/>
          <w:highlight w:val="none"/>
        </w:rPr>
        <w:t>）在各类网络平台发表不当言论，被学校或网信、公安等相关部门查处的；（3分/次）</w:t>
      </w:r>
    </w:p>
    <w:p w14:paraId="2E696A79">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（十</w:t>
      </w:r>
      <w:r>
        <w:rPr>
          <w:rFonts w:hint="eastAsia" w:ascii="仿宋" w:hAnsi="仿宋" w:eastAsia="仿宋" w:cs="仿宋"/>
          <w:b w:val="0"/>
          <w:bCs/>
          <w:color w:val="000000"/>
          <w:sz w:val="32"/>
          <w:szCs w:val="32"/>
          <w:highlight w:val="none"/>
          <w:lang w:val="en-US" w:eastAsia="zh-CN"/>
        </w:rPr>
        <w:t>二</w:t>
      </w:r>
      <w:r>
        <w:rPr>
          <w:rFonts w:hint="eastAsia" w:ascii="仿宋" w:hAnsi="仿宋" w:eastAsia="仿宋" w:cs="仿宋"/>
          <w:b w:val="0"/>
          <w:bCs/>
          <w:color w:val="000000"/>
          <w:sz w:val="32"/>
          <w:szCs w:val="32"/>
          <w:highlight w:val="none"/>
        </w:rPr>
        <w:t>）经学院认定的其他扣分项。</w:t>
      </w:r>
    </w:p>
    <w:p w14:paraId="09C9489B">
      <w:pPr>
        <w:keepNext w:val="0"/>
        <w:keepLines w:val="0"/>
        <w:pageBreakBefore w:val="0"/>
        <w:widowControl w:val="0"/>
        <w:kinsoku/>
        <w:wordWrap w:val="0"/>
        <w:overflowPunct/>
        <w:topLinePunct w:val="0"/>
        <w:autoSpaceDE w:val="0"/>
        <w:autoSpaceDN w:val="0"/>
        <w:bidi w:val="0"/>
        <w:adjustRightInd/>
        <w:snapToGrid/>
        <w:spacing w:before="0" w:after="120" w:line="560" w:lineRule="exact"/>
        <w:ind w:firstLine="0" w:firstLineChars="0"/>
        <w:jc w:val="center"/>
        <w:textAlignment w:val="auto"/>
        <w:rPr>
          <w:rFonts w:hint="eastAsia" w:ascii="楷体" w:hAnsi="楷体" w:eastAsia="楷体" w:cs="楷体"/>
          <w:b w:val="0"/>
          <w:bCs w:val="0"/>
          <w:color w:val="000000"/>
          <w:kern w:val="2"/>
          <w:sz w:val="32"/>
          <w:szCs w:val="32"/>
          <w:highlight w:val="none"/>
        </w:rPr>
      </w:pPr>
      <w:r>
        <w:rPr>
          <w:rFonts w:hint="eastAsia" w:ascii="楷体" w:hAnsi="楷体" w:eastAsia="楷体" w:cs="楷体"/>
          <w:b w:val="0"/>
          <w:bCs w:val="0"/>
          <w:color w:val="000000"/>
          <w:kern w:val="2"/>
          <w:sz w:val="32"/>
          <w:szCs w:val="32"/>
          <w:highlight w:val="none"/>
        </w:rPr>
        <w:t>第二部分 智育素质能力测评标准</w:t>
      </w:r>
    </w:p>
    <w:p w14:paraId="6AD24115">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一、智育素质能力测评模块突出大学生专业理论与科研实践能力，强化培养学生掌握系统科学文化知识与技能、发展智力。</w:t>
      </w:r>
    </w:p>
    <w:p w14:paraId="1D02A651">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二、智育素质能力测评内容主要包括学生学业成绩、参与科研训练、学科竞赛与创新创业实践等方面的表现。智育素质能力测评采用百分制，测评成绩Z包括学业成绩得分Z1和智育成果性评价得分Z2两部分。该项总分不超过100分，累计得分超过100分的按100分计。</w:t>
      </w:r>
    </w:p>
    <w:p w14:paraId="6E26B53D">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三、学业成绩得分占比为60分，主要评价学年学生修读课程平均成绩，以“平均学分成绩”为测算依据。</w:t>
      </w:r>
    </w:p>
    <w:p w14:paraId="768939F5">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四、智育成果性评价总分原则上40分，累计得分超过40分的以40分计。测评内容主要包括科研实践与学术活动、学科竞赛与生涯规划、国际交流与跨文化实践、学术研究与创新成果等部分。由各学院测评工作组依据学院测评细则对学生相关表现进行综合评价赋分。</w:t>
      </w:r>
    </w:p>
    <w:p w14:paraId="4B47C0E9">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（一）科研实践与学术活动（15分）</w:t>
      </w:r>
    </w:p>
    <w:p w14:paraId="77A67348">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1.主持或参与各级各类科研项目、创新创业项目或活动并顺利结题；</w:t>
      </w:r>
    </w:p>
    <w:p w14:paraId="0DFAA34E">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ascii="仿宋" w:hAnsi="仿宋" w:eastAsia="仿宋"/>
          <w:b w:val="0"/>
          <w:bCs w:val="0"/>
          <w:sz w:val="32"/>
          <w:szCs w:val="32"/>
          <w:highlight w:val="none"/>
        </w:rPr>
      </w:pPr>
      <w:r>
        <w:rPr>
          <w:rFonts w:hint="eastAsia" w:ascii="仿宋" w:hAnsi="仿宋" w:eastAsia="仿宋" w:cs="仿宋"/>
          <w:b w:val="0"/>
          <w:bCs w:val="0"/>
          <w:color w:val="000000"/>
          <w:sz w:val="32"/>
          <w:szCs w:val="32"/>
          <w:highlight w:val="none"/>
        </w:rPr>
        <w:t>（1）</w:t>
      </w:r>
      <w:r>
        <w:rPr>
          <w:rFonts w:hint="eastAsia" w:ascii="仿宋" w:hAnsi="仿宋" w:eastAsia="仿宋"/>
          <w:b w:val="0"/>
          <w:bCs w:val="0"/>
          <w:sz w:val="32"/>
          <w:szCs w:val="32"/>
          <w:highlight w:val="none"/>
        </w:rPr>
        <w:t>参加各类科研项目并立项。（国家级项目负责人加1</w:t>
      </w:r>
      <w:r>
        <w:rPr>
          <w:rFonts w:hint="eastAsia" w:ascii="仿宋" w:hAnsi="仿宋" w:eastAsia="仿宋"/>
          <w:b w:val="0"/>
          <w:bCs w:val="0"/>
          <w:sz w:val="32"/>
          <w:szCs w:val="32"/>
          <w:highlight w:val="none"/>
          <w:lang w:val="en-US" w:eastAsia="zh-CN"/>
        </w:rPr>
        <w:t>5</w:t>
      </w:r>
      <w:r>
        <w:rPr>
          <w:rFonts w:hint="eastAsia" w:ascii="仿宋" w:hAnsi="仿宋" w:eastAsia="仿宋"/>
          <w:b w:val="0"/>
          <w:bCs w:val="0"/>
          <w:sz w:val="32"/>
          <w:szCs w:val="32"/>
          <w:highlight w:val="none"/>
        </w:rPr>
        <w:t>分，组员加</w:t>
      </w:r>
      <w:r>
        <w:rPr>
          <w:rFonts w:hint="eastAsia" w:ascii="仿宋" w:hAnsi="仿宋" w:eastAsia="仿宋"/>
          <w:b w:val="0"/>
          <w:bCs w:val="0"/>
          <w:sz w:val="32"/>
          <w:szCs w:val="32"/>
          <w:highlight w:val="none"/>
          <w:lang w:val="en-US" w:eastAsia="zh-CN"/>
        </w:rPr>
        <w:t>12</w:t>
      </w:r>
      <w:r>
        <w:rPr>
          <w:rFonts w:hint="eastAsia" w:ascii="仿宋" w:hAnsi="仿宋" w:eastAsia="仿宋"/>
          <w:b w:val="0"/>
          <w:bCs w:val="0"/>
          <w:sz w:val="32"/>
          <w:szCs w:val="32"/>
          <w:highlight w:val="none"/>
        </w:rPr>
        <w:t>分，省级项目负责人加</w:t>
      </w:r>
      <w:r>
        <w:rPr>
          <w:rFonts w:hint="eastAsia" w:ascii="仿宋" w:hAnsi="仿宋" w:eastAsia="仿宋"/>
          <w:b w:val="0"/>
          <w:bCs w:val="0"/>
          <w:sz w:val="32"/>
          <w:szCs w:val="32"/>
          <w:highlight w:val="none"/>
          <w:lang w:val="en-US" w:eastAsia="zh-CN"/>
        </w:rPr>
        <w:t>13</w:t>
      </w:r>
      <w:r>
        <w:rPr>
          <w:rFonts w:hint="eastAsia" w:ascii="仿宋" w:hAnsi="仿宋" w:eastAsia="仿宋"/>
          <w:b w:val="0"/>
          <w:bCs w:val="0"/>
          <w:sz w:val="32"/>
          <w:szCs w:val="32"/>
          <w:highlight w:val="none"/>
        </w:rPr>
        <w:t>分，组员加</w:t>
      </w:r>
      <w:r>
        <w:rPr>
          <w:rFonts w:hint="eastAsia" w:ascii="仿宋" w:hAnsi="仿宋" w:eastAsia="仿宋"/>
          <w:b w:val="0"/>
          <w:bCs w:val="0"/>
          <w:sz w:val="32"/>
          <w:szCs w:val="32"/>
          <w:highlight w:val="none"/>
          <w:lang w:val="en-US" w:eastAsia="zh-CN"/>
        </w:rPr>
        <w:t>10</w:t>
      </w:r>
      <w:r>
        <w:rPr>
          <w:rFonts w:hint="eastAsia" w:ascii="仿宋" w:hAnsi="仿宋" w:eastAsia="仿宋"/>
          <w:b w:val="0"/>
          <w:bCs w:val="0"/>
          <w:sz w:val="32"/>
          <w:szCs w:val="32"/>
          <w:highlight w:val="none"/>
        </w:rPr>
        <w:t>分，校级项目负责人加</w:t>
      </w:r>
      <w:r>
        <w:rPr>
          <w:rFonts w:hint="eastAsia" w:ascii="仿宋" w:hAnsi="仿宋" w:eastAsia="仿宋"/>
          <w:b w:val="0"/>
          <w:bCs w:val="0"/>
          <w:sz w:val="32"/>
          <w:szCs w:val="32"/>
          <w:highlight w:val="none"/>
          <w:lang w:val="en-US" w:eastAsia="zh-CN"/>
        </w:rPr>
        <w:t>11</w:t>
      </w:r>
      <w:r>
        <w:rPr>
          <w:rFonts w:hint="eastAsia" w:ascii="仿宋" w:hAnsi="仿宋" w:eastAsia="仿宋"/>
          <w:b w:val="0"/>
          <w:bCs w:val="0"/>
          <w:sz w:val="32"/>
          <w:szCs w:val="32"/>
          <w:highlight w:val="none"/>
        </w:rPr>
        <w:t>分，组员加</w:t>
      </w:r>
      <w:r>
        <w:rPr>
          <w:rFonts w:hint="eastAsia" w:ascii="仿宋" w:hAnsi="仿宋" w:eastAsia="仿宋"/>
          <w:b w:val="0"/>
          <w:bCs w:val="0"/>
          <w:sz w:val="32"/>
          <w:szCs w:val="32"/>
          <w:highlight w:val="none"/>
          <w:lang w:val="en-US" w:eastAsia="zh-CN"/>
        </w:rPr>
        <w:t>8</w:t>
      </w:r>
      <w:r>
        <w:rPr>
          <w:rFonts w:hint="eastAsia" w:ascii="仿宋" w:hAnsi="仿宋" w:eastAsia="仿宋"/>
          <w:b w:val="0"/>
          <w:bCs w:val="0"/>
          <w:sz w:val="32"/>
          <w:szCs w:val="32"/>
          <w:highlight w:val="none"/>
        </w:rPr>
        <w:t>分。）</w:t>
      </w:r>
    </w:p>
    <w:p w14:paraId="5E830438">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（2）参加大学生创新创业训练计划者，并参与项目中期答辩（国家级项目负责人加</w:t>
      </w:r>
      <w:r>
        <w:rPr>
          <w:rFonts w:hint="eastAsia" w:ascii="仿宋" w:hAnsi="仿宋" w:eastAsia="仿宋"/>
          <w:b w:val="0"/>
          <w:bCs w:val="0"/>
          <w:sz w:val="32"/>
          <w:szCs w:val="32"/>
          <w:highlight w:val="none"/>
          <w:lang w:val="en-US" w:eastAsia="zh-CN"/>
        </w:rPr>
        <w:t>10</w:t>
      </w:r>
      <w:r>
        <w:rPr>
          <w:rFonts w:hint="eastAsia" w:ascii="仿宋" w:hAnsi="仿宋" w:eastAsia="仿宋"/>
          <w:b w:val="0"/>
          <w:bCs w:val="0"/>
          <w:sz w:val="32"/>
          <w:szCs w:val="32"/>
          <w:highlight w:val="none"/>
        </w:rPr>
        <w:t>分，组员加</w:t>
      </w:r>
      <w:r>
        <w:rPr>
          <w:rFonts w:hint="eastAsia" w:ascii="仿宋" w:hAnsi="仿宋" w:eastAsia="仿宋"/>
          <w:b w:val="0"/>
          <w:bCs w:val="0"/>
          <w:sz w:val="32"/>
          <w:szCs w:val="32"/>
          <w:highlight w:val="none"/>
          <w:lang w:val="en-US" w:eastAsia="zh-CN"/>
        </w:rPr>
        <w:t>7</w:t>
      </w:r>
      <w:r>
        <w:rPr>
          <w:rFonts w:hint="eastAsia" w:ascii="仿宋" w:hAnsi="仿宋" w:eastAsia="仿宋"/>
          <w:b w:val="0"/>
          <w:bCs w:val="0"/>
          <w:sz w:val="32"/>
          <w:szCs w:val="32"/>
          <w:highlight w:val="none"/>
        </w:rPr>
        <w:t>分；省级项目负责人加</w:t>
      </w:r>
      <w:r>
        <w:rPr>
          <w:rFonts w:hint="eastAsia" w:ascii="仿宋" w:hAnsi="仿宋" w:eastAsia="仿宋"/>
          <w:b w:val="0"/>
          <w:bCs w:val="0"/>
          <w:sz w:val="32"/>
          <w:szCs w:val="32"/>
          <w:highlight w:val="none"/>
          <w:lang w:val="en-US" w:eastAsia="zh-CN"/>
        </w:rPr>
        <w:t>8</w:t>
      </w:r>
      <w:r>
        <w:rPr>
          <w:rFonts w:hint="eastAsia" w:ascii="仿宋" w:hAnsi="仿宋" w:eastAsia="仿宋"/>
          <w:b w:val="0"/>
          <w:bCs w:val="0"/>
          <w:sz w:val="32"/>
          <w:szCs w:val="32"/>
          <w:highlight w:val="none"/>
        </w:rPr>
        <w:t>分，组员加</w:t>
      </w:r>
      <w:r>
        <w:rPr>
          <w:rFonts w:hint="eastAsia" w:ascii="仿宋" w:hAnsi="仿宋" w:eastAsia="仿宋"/>
          <w:b w:val="0"/>
          <w:bCs w:val="0"/>
          <w:sz w:val="32"/>
          <w:szCs w:val="32"/>
          <w:highlight w:val="none"/>
          <w:lang w:val="en-US" w:eastAsia="zh-CN"/>
        </w:rPr>
        <w:t>5</w:t>
      </w:r>
      <w:r>
        <w:rPr>
          <w:rFonts w:hint="eastAsia" w:ascii="仿宋" w:hAnsi="仿宋" w:eastAsia="仿宋"/>
          <w:b w:val="0"/>
          <w:bCs w:val="0"/>
          <w:sz w:val="32"/>
          <w:szCs w:val="32"/>
          <w:highlight w:val="none"/>
        </w:rPr>
        <w:t>分；校级项目负责人加</w:t>
      </w:r>
      <w:r>
        <w:rPr>
          <w:rFonts w:hint="eastAsia" w:ascii="仿宋" w:hAnsi="仿宋" w:eastAsia="仿宋"/>
          <w:b w:val="0"/>
          <w:bCs w:val="0"/>
          <w:sz w:val="32"/>
          <w:szCs w:val="32"/>
          <w:highlight w:val="none"/>
          <w:lang w:val="en-US" w:eastAsia="zh-CN"/>
        </w:rPr>
        <w:t>6</w:t>
      </w:r>
      <w:r>
        <w:rPr>
          <w:rFonts w:hint="eastAsia" w:ascii="仿宋" w:hAnsi="仿宋" w:eastAsia="仿宋"/>
          <w:b w:val="0"/>
          <w:bCs w:val="0"/>
          <w:sz w:val="32"/>
          <w:szCs w:val="32"/>
          <w:highlight w:val="none"/>
        </w:rPr>
        <w:t>分，组员加</w:t>
      </w:r>
      <w:r>
        <w:rPr>
          <w:rFonts w:hint="eastAsia" w:ascii="仿宋" w:hAnsi="仿宋" w:eastAsia="仿宋"/>
          <w:b w:val="0"/>
          <w:bCs w:val="0"/>
          <w:sz w:val="32"/>
          <w:szCs w:val="32"/>
          <w:highlight w:val="none"/>
          <w:lang w:val="en-US" w:eastAsia="zh-CN"/>
        </w:rPr>
        <w:t>3</w:t>
      </w:r>
      <w:r>
        <w:rPr>
          <w:rFonts w:hint="eastAsia" w:ascii="仿宋" w:hAnsi="仿宋" w:eastAsia="仿宋"/>
          <w:b w:val="0"/>
          <w:bCs w:val="0"/>
          <w:sz w:val="32"/>
          <w:szCs w:val="32"/>
          <w:highlight w:val="none"/>
        </w:rPr>
        <w:t>分。项目顺利结题情况优秀加</w:t>
      </w:r>
      <w:r>
        <w:rPr>
          <w:rFonts w:hint="eastAsia" w:ascii="仿宋" w:hAnsi="仿宋" w:eastAsia="仿宋"/>
          <w:b w:val="0"/>
          <w:bCs w:val="0"/>
          <w:sz w:val="32"/>
          <w:szCs w:val="32"/>
          <w:highlight w:val="none"/>
          <w:lang w:val="en-US" w:eastAsia="zh-CN"/>
        </w:rPr>
        <w:t>5</w:t>
      </w:r>
      <w:r>
        <w:rPr>
          <w:rFonts w:hint="eastAsia" w:ascii="仿宋" w:hAnsi="仿宋" w:eastAsia="仿宋"/>
          <w:b w:val="0"/>
          <w:bCs w:val="0"/>
          <w:sz w:val="32"/>
          <w:szCs w:val="32"/>
          <w:highlight w:val="none"/>
        </w:rPr>
        <w:t>分、良好加</w:t>
      </w:r>
      <w:r>
        <w:rPr>
          <w:rFonts w:hint="eastAsia" w:ascii="仿宋" w:hAnsi="仿宋" w:eastAsia="仿宋"/>
          <w:b w:val="0"/>
          <w:bCs w:val="0"/>
          <w:sz w:val="32"/>
          <w:szCs w:val="32"/>
          <w:highlight w:val="none"/>
          <w:lang w:val="en-US" w:eastAsia="zh-CN"/>
        </w:rPr>
        <w:t>3</w:t>
      </w:r>
      <w:r>
        <w:rPr>
          <w:rFonts w:hint="eastAsia" w:ascii="仿宋" w:hAnsi="仿宋" w:eastAsia="仿宋"/>
          <w:b w:val="0"/>
          <w:bCs w:val="0"/>
          <w:sz w:val="32"/>
          <w:szCs w:val="32"/>
          <w:highlight w:val="none"/>
        </w:rPr>
        <w:t>分、合格加1分；不合格扣</w:t>
      </w:r>
      <w:r>
        <w:rPr>
          <w:rFonts w:hint="eastAsia" w:ascii="仿宋" w:hAnsi="仿宋" w:eastAsia="仿宋"/>
          <w:b w:val="0"/>
          <w:bCs w:val="0"/>
          <w:sz w:val="32"/>
          <w:szCs w:val="32"/>
          <w:highlight w:val="none"/>
          <w:lang w:val="en-US" w:eastAsia="zh-CN"/>
        </w:rPr>
        <w:t>3</w:t>
      </w:r>
      <w:r>
        <w:rPr>
          <w:rFonts w:hint="eastAsia" w:ascii="仿宋" w:hAnsi="仿宋" w:eastAsia="仿宋"/>
          <w:b w:val="0"/>
          <w:bCs w:val="0"/>
          <w:sz w:val="32"/>
          <w:szCs w:val="32"/>
          <w:highlight w:val="none"/>
        </w:rPr>
        <w:t>分，中途退出者成员每人扣除</w:t>
      </w:r>
      <w:r>
        <w:rPr>
          <w:rFonts w:hint="eastAsia" w:ascii="仿宋" w:hAnsi="仿宋" w:eastAsia="仿宋"/>
          <w:b w:val="0"/>
          <w:bCs w:val="0"/>
          <w:sz w:val="32"/>
          <w:szCs w:val="32"/>
          <w:highlight w:val="none"/>
          <w:lang w:val="en-US" w:eastAsia="zh-CN"/>
        </w:rPr>
        <w:t>该项目</w:t>
      </w:r>
      <w:r>
        <w:rPr>
          <w:rFonts w:hint="eastAsia" w:ascii="仿宋" w:hAnsi="仿宋" w:eastAsia="仿宋"/>
          <w:b w:val="0"/>
          <w:bCs w:val="0"/>
          <w:sz w:val="32"/>
          <w:szCs w:val="32"/>
          <w:highlight w:val="none"/>
        </w:rPr>
        <w:t>原来所加分数）</w:t>
      </w:r>
    </w:p>
    <w:p w14:paraId="4396C397">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.参加各级各类主题征文活动及获奖情况。</w:t>
      </w:r>
    </w:p>
    <w:tbl>
      <w:tblPr>
        <w:tblStyle w:val="12"/>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05"/>
        <w:gridCol w:w="1995"/>
        <w:gridCol w:w="2136"/>
        <w:gridCol w:w="2094"/>
      </w:tblGrid>
      <w:tr w14:paraId="7C4C2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434" w:type="pct"/>
            <w:vAlign w:val="center"/>
          </w:tcPr>
          <w:p w14:paraId="775C3C80">
            <w:pPr>
              <w:keepNext w:val="0"/>
              <w:keepLines w:val="0"/>
              <w:pageBreakBefore w:val="0"/>
              <w:widowControl w:val="0"/>
              <w:kinsoku/>
              <w:overflowPunct/>
              <w:topLinePunct w:val="0"/>
              <w:bidi w:val="0"/>
              <w:adjustRightInd w:val="0"/>
              <w:snapToGrid w:val="0"/>
              <w:spacing w:after="120" w:line="560" w:lineRule="exact"/>
              <w:ind w:firstLine="420"/>
              <w:jc w:val="center"/>
              <w:textAlignment w:val="auto"/>
              <w:rPr>
                <w:rFonts w:ascii="仿宋" w:hAnsi="仿宋" w:eastAsia="仿宋"/>
                <w:b w:val="0"/>
                <w:bCs w:val="0"/>
                <w:sz w:val="32"/>
                <w:szCs w:val="32"/>
                <w:highlight w:val="none"/>
              </w:rPr>
            </w:pPr>
            <w:r>
              <w:rPr>
                <w:rFonts w:ascii="仿宋" w:hAnsi="仿宋" w:eastAsia="仿宋"/>
                <w:b w:val="0"/>
                <w:bCs w:val="0"/>
                <w:position w:val="-28"/>
                <w:sz w:val="32"/>
                <w:szCs w:val="32"/>
                <w:highlight w:val="none"/>
              </w:rPr>
              <w:drawing>
                <wp:anchor distT="0" distB="0" distL="114300" distR="114300" simplePos="0" relativeHeight="251670528" behindDoc="1" locked="0" layoutInCell="1" allowOverlap="1">
                  <wp:simplePos x="0" y="0"/>
                  <wp:positionH relativeFrom="column">
                    <wp:posOffset>3810</wp:posOffset>
                  </wp:positionH>
                  <wp:positionV relativeFrom="paragraph">
                    <wp:posOffset>-635</wp:posOffset>
                  </wp:positionV>
                  <wp:extent cx="1551305" cy="597535"/>
                  <wp:effectExtent l="0" t="0" r="10795" b="12065"/>
                  <wp:wrapNone/>
                  <wp:docPr id="3" name="IM 14"/>
                  <wp:cNvGraphicFramePr/>
                  <a:graphic xmlns:a="http://schemas.openxmlformats.org/drawingml/2006/main">
                    <a:graphicData uri="http://schemas.openxmlformats.org/drawingml/2006/picture">
                      <pic:pic xmlns:pic="http://schemas.openxmlformats.org/drawingml/2006/picture">
                        <pic:nvPicPr>
                          <pic:cNvPr id="3" name="IM 14"/>
                          <pic:cNvPicPr/>
                        </pic:nvPicPr>
                        <pic:blipFill>
                          <a:blip r:embed="rId5"/>
                          <a:stretch>
                            <a:fillRect/>
                          </a:stretch>
                        </pic:blipFill>
                        <pic:spPr>
                          <a:xfrm>
                            <a:off x="0" y="0"/>
                            <a:ext cx="1551305" cy="597535"/>
                          </a:xfrm>
                          <a:prstGeom prst="rect">
                            <a:avLst/>
                          </a:prstGeom>
                          <a:noFill/>
                          <a:ln>
                            <a:noFill/>
                          </a:ln>
                        </pic:spPr>
                      </pic:pic>
                    </a:graphicData>
                  </a:graphic>
                </wp:anchor>
              </w:drawing>
            </w:r>
          </w:p>
        </w:tc>
        <w:tc>
          <w:tcPr>
            <w:tcW w:w="1142" w:type="pct"/>
            <w:vAlign w:val="center"/>
          </w:tcPr>
          <w:p w14:paraId="6FBBC61B">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第一名</w:t>
            </w:r>
          </w:p>
        </w:tc>
        <w:tc>
          <w:tcPr>
            <w:tcW w:w="1223" w:type="pct"/>
            <w:vAlign w:val="center"/>
          </w:tcPr>
          <w:p w14:paraId="750ADA9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第二名</w:t>
            </w:r>
          </w:p>
        </w:tc>
        <w:tc>
          <w:tcPr>
            <w:tcW w:w="1199" w:type="pct"/>
            <w:vAlign w:val="center"/>
          </w:tcPr>
          <w:p w14:paraId="7D56AEEE">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第三名</w:t>
            </w:r>
          </w:p>
        </w:tc>
      </w:tr>
      <w:tr w14:paraId="758D6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5BFCEDDB">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25"/>
                <w:sz w:val="32"/>
                <w:szCs w:val="32"/>
                <w:highlight w:val="none"/>
              </w:rPr>
              <w:t>国家级</w:t>
            </w:r>
          </w:p>
        </w:tc>
        <w:tc>
          <w:tcPr>
            <w:tcW w:w="1142" w:type="pct"/>
            <w:vAlign w:val="center"/>
          </w:tcPr>
          <w:p w14:paraId="3D47830C">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3"/>
                <w:sz w:val="32"/>
                <w:szCs w:val="32"/>
                <w:highlight w:val="none"/>
                <w:lang w:val="en-US" w:eastAsia="zh-CN"/>
              </w:rPr>
              <w:t>10</w:t>
            </w:r>
            <w:r>
              <w:rPr>
                <w:rFonts w:ascii="仿宋" w:hAnsi="仿宋" w:eastAsia="仿宋"/>
                <w:b w:val="0"/>
                <w:bCs w:val="0"/>
                <w:spacing w:val="-3"/>
                <w:sz w:val="32"/>
                <w:szCs w:val="32"/>
                <w:highlight w:val="none"/>
              </w:rPr>
              <w:t>.0</w:t>
            </w:r>
          </w:p>
        </w:tc>
        <w:tc>
          <w:tcPr>
            <w:tcW w:w="1223" w:type="pct"/>
            <w:vAlign w:val="center"/>
          </w:tcPr>
          <w:p w14:paraId="346CD666">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z w:val="32"/>
                <w:szCs w:val="32"/>
                <w:highlight w:val="none"/>
                <w:lang w:val="en-US" w:eastAsia="zh-CN"/>
              </w:rPr>
              <w:t>9.5</w:t>
            </w:r>
          </w:p>
        </w:tc>
        <w:tc>
          <w:tcPr>
            <w:tcW w:w="1199" w:type="pct"/>
            <w:vAlign w:val="center"/>
          </w:tcPr>
          <w:p w14:paraId="19B9C492">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5"/>
                <w:sz w:val="32"/>
                <w:szCs w:val="32"/>
                <w:highlight w:val="none"/>
                <w:lang w:val="en-US" w:eastAsia="zh-CN"/>
              </w:rPr>
              <w:t>9</w:t>
            </w:r>
            <w:r>
              <w:rPr>
                <w:rFonts w:hint="eastAsia" w:ascii="仿宋" w:hAnsi="仿宋" w:eastAsia="仿宋"/>
                <w:b w:val="0"/>
                <w:bCs w:val="0"/>
                <w:spacing w:val="-5"/>
                <w:sz w:val="32"/>
                <w:szCs w:val="32"/>
                <w:highlight w:val="none"/>
              </w:rPr>
              <w:t>.0</w:t>
            </w:r>
          </w:p>
        </w:tc>
      </w:tr>
      <w:tr w14:paraId="3773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1476D484">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11"/>
                <w:sz w:val="32"/>
                <w:szCs w:val="32"/>
                <w:highlight w:val="none"/>
              </w:rPr>
              <w:t>省部级</w:t>
            </w:r>
          </w:p>
        </w:tc>
        <w:tc>
          <w:tcPr>
            <w:tcW w:w="1142" w:type="pct"/>
            <w:vAlign w:val="center"/>
          </w:tcPr>
          <w:p w14:paraId="0FE236F8">
            <w:pPr>
              <w:keepNext w:val="0"/>
              <w:keepLines w:val="0"/>
              <w:pageBreakBefore w:val="0"/>
              <w:widowControl w:val="0"/>
              <w:kinsoku/>
              <w:overflowPunct/>
              <w:topLinePunct w:val="0"/>
              <w:bidi w:val="0"/>
              <w:adjustRightInd w:val="0"/>
              <w:snapToGrid w:val="0"/>
              <w:spacing w:after="120" w:line="560" w:lineRule="exact"/>
              <w:jc w:val="center"/>
              <w:textAlignment w:val="auto"/>
              <w:rPr>
                <w:rFonts w:hint="eastAsia" w:ascii="仿宋" w:hAnsi="仿宋" w:eastAsia="仿宋" w:cs="宋体"/>
                <w:b w:val="0"/>
                <w:bCs w:val="0"/>
                <w:sz w:val="32"/>
                <w:szCs w:val="32"/>
                <w:highlight w:val="none"/>
                <w:lang w:val="en-US" w:eastAsia="zh-CN"/>
              </w:rPr>
            </w:pPr>
            <w:r>
              <w:rPr>
                <w:rFonts w:hint="eastAsia" w:ascii="仿宋" w:hAnsi="仿宋" w:eastAsia="仿宋"/>
                <w:b w:val="0"/>
                <w:bCs w:val="0"/>
                <w:spacing w:val="-5"/>
                <w:sz w:val="32"/>
                <w:szCs w:val="32"/>
                <w:highlight w:val="none"/>
                <w:lang w:val="en-US" w:eastAsia="zh-CN"/>
              </w:rPr>
              <w:t>8</w:t>
            </w:r>
            <w:r>
              <w:rPr>
                <w:rFonts w:hint="eastAsia" w:ascii="仿宋" w:hAnsi="仿宋" w:eastAsia="仿宋"/>
                <w:b w:val="0"/>
                <w:bCs w:val="0"/>
                <w:spacing w:val="-5"/>
                <w:sz w:val="32"/>
                <w:szCs w:val="32"/>
                <w:highlight w:val="none"/>
              </w:rPr>
              <w:t>.</w:t>
            </w:r>
            <w:r>
              <w:rPr>
                <w:rFonts w:hint="eastAsia" w:ascii="仿宋" w:hAnsi="仿宋" w:eastAsia="仿宋"/>
                <w:b w:val="0"/>
                <w:bCs w:val="0"/>
                <w:spacing w:val="-5"/>
                <w:sz w:val="32"/>
                <w:szCs w:val="32"/>
                <w:highlight w:val="none"/>
                <w:lang w:val="en-US" w:eastAsia="zh-CN"/>
              </w:rPr>
              <w:t>5</w:t>
            </w:r>
          </w:p>
        </w:tc>
        <w:tc>
          <w:tcPr>
            <w:tcW w:w="1223" w:type="pct"/>
            <w:vAlign w:val="center"/>
          </w:tcPr>
          <w:p w14:paraId="6161950E">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pacing w:val="-2"/>
                <w:sz w:val="32"/>
                <w:szCs w:val="32"/>
                <w:highlight w:val="none"/>
                <w:lang w:val="en-US" w:eastAsia="zh-CN"/>
              </w:rPr>
              <w:t>8.0</w:t>
            </w:r>
          </w:p>
        </w:tc>
        <w:tc>
          <w:tcPr>
            <w:tcW w:w="1199" w:type="pct"/>
            <w:vAlign w:val="center"/>
          </w:tcPr>
          <w:p w14:paraId="76A63039">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cs="宋体"/>
                <w:b w:val="0"/>
                <w:bCs w:val="0"/>
                <w:sz w:val="32"/>
                <w:szCs w:val="32"/>
                <w:highlight w:val="none"/>
                <w:lang w:val="en-US" w:eastAsia="zh-CN"/>
              </w:rPr>
              <w:t>7.5</w:t>
            </w:r>
          </w:p>
        </w:tc>
      </w:tr>
      <w:tr w14:paraId="65C5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6763B64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9"/>
                <w:sz w:val="32"/>
                <w:szCs w:val="32"/>
                <w:highlight w:val="none"/>
              </w:rPr>
              <w:t>校级</w:t>
            </w:r>
          </w:p>
        </w:tc>
        <w:tc>
          <w:tcPr>
            <w:tcW w:w="1142" w:type="pct"/>
            <w:vAlign w:val="center"/>
          </w:tcPr>
          <w:p w14:paraId="33EF787D">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pacing w:val="-2"/>
                <w:sz w:val="32"/>
                <w:szCs w:val="32"/>
                <w:highlight w:val="none"/>
                <w:lang w:val="en-US" w:eastAsia="zh-CN"/>
              </w:rPr>
              <w:t>7.0</w:t>
            </w:r>
          </w:p>
        </w:tc>
        <w:tc>
          <w:tcPr>
            <w:tcW w:w="1223" w:type="pct"/>
            <w:vAlign w:val="center"/>
          </w:tcPr>
          <w:p w14:paraId="324CE119">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pacing w:val="-1"/>
                <w:sz w:val="32"/>
                <w:szCs w:val="32"/>
                <w:highlight w:val="none"/>
                <w:lang w:val="en-US" w:eastAsia="zh-CN"/>
              </w:rPr>
              <w:t>6.5</w:t>
            </w:r>
          </w:p>
        </w:tc>
        <w:tc>
          <w:tcPr>
            <w:tcW w:w="1199" w:type="pct"/>
            <w:vAlign w:val="center"/>
          </w:tcPr>
          <w:p w14:paraId="4D687B07">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pacing w:val="-1"/>
                <w:sz w:val="32"/>
                <w:szCs w:val="32"/>
                <w:highlight w:val="none"/>
                <w:lang w:val="en-US" w:eastAsia="zh-CN"/>
              </w:rPr>
              <w:t>6.0</w:t>
            </w:r>
          </w:p>
        </w:tc>
      </w:tr>
      <w:tr w14:paraId="5E86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65C62BA8">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18"/>
                <w:sz w:val="32"/>
                <w:szCs w:val="32"/>
                <w:highlight w:val="none"/>
              </w:rPr>
              <w:t>院级</w:t>
            </w:r>
          </w:p>
        </w:tc>
        <w:tc>
          <w:tcPr>
            <w:tcW w:w="1142" w:type="pct"/>
            <w:vAlign w:val="center"/>
          </w:tcPr>
          <w:p w14:paraId="14B11CC0">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pacing w:val="-1"/>
                <w:sz w:val="32"/>
                <w:szCs w:val="32"/>
                <w:highlight w:val="none"/>
                <w:lang w:val="en-US" w:eastAsia="zh-CN"/>
              </w:rPr>
              <w:t>5.5</w:t>
            </w:r>
          </w:p>
        </w:tc>
        <w:tc>
          <w:tcPr>
            <w:tcW w:w="1223" w:type="pct"/>
            <w:vAlign w:val="center"/>
          </w:tcPr>
          <w:p w14:paraId="0B2AC0F0">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pacing w:val="-1"/>
                <w:sz w:val="32"/>
                <w:szCs w:val="32"/>
                <w:highlight w:val="none"/>
                <w:lang w:val="en-US" w:eastAsia="zh-CN"/>
              </w:rPr>
              <w:t>5.0</w:t>
            </w:r>
          </w:p>
        </w:tc>
        <w:tc>
          <w:tcPr>
            <w:tcW w:w="1199" w:type="pct"/>
            <w:vAlign w:val="center"/>
          </w:tcPr>
          <w:p w14:paraId="6EB3D66B">
            <w:pPr>
              <w:keepNext w:val="0"/>
              <w:keepLines w:val="0"/>
              <w:pageBreakBefore w:val="0"/>
              <w:widowControl w:val="0"/>
              <w:kinsoku/>
              <w:overflowPunct/>
              <w:topLinePunct w:val="0"/>
              <w:bidi w:val="0"/>
              <w:adjustRightInd w:val="0"/>
              <w:snapToGrid w:val="0"/>
              <w:spacing w:after="120" w:line="560" w:lineRule="exact"/>
              <w:jc w:val="center"/>
              <w:textAlignment w:val="auto"/>
              <w:rPr>
                <w:rFonts w:hint="default" w:ascii="仿宋" w:hAnsi="仿宋" w:eastAsia="仿宋" w:cs="宋体"/>
                <w:b w:val="0"/>
                <w:bCs w:val="0"/>
                <w:sz w:val="32"/>
                <w:szCs w:val="32"/>
                <w:highlight w:val="none"/>
                <w:lang w:val="en-US" w:eastAsia="zh-CN"/>
              </w:rPr>
            </w:pPr>
            <w:r>
              <w:rPr>
                <w:rFonts w:hint="eastAsia" w:ascii="仿宋" w:hAnsi="仿宋" w:eastAsia="仿宋"/>
                <w:b w:val="0"/>
                <w:bCs w:val="0"/>
                <w:spacing w:val="-4"/>
                <w:sz w:val="32"/>
                <w:szCs w:val="32"/>
                <w:highlight w:val="none"/>
                <w:lang w:val="en-US" w:eastAsia="zh-CN"/>
              </w:rPr>
              <w:t>4.5</w:t>
            </w:r>
          </w:p>
        </w:tc>
      </w:tr>
    </w:tbl>
    <w:p w14:paraId="766F821F">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textAlignment w:val="auto"/>
        <w:rPr>
          <w:rFonts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rPr>
        <w:t>.积极参加学校、学院组织的学术报告会、专题讲座、学术论坛、创新创业展览等科技学术活动；（</w:t>
      </w:r>
      <w:r>
        <w:rPr>
          <w:rFonts w:hint="eastAsia" w:ascii="仿宋" w:hAnsi="仿宋" w:eastAsia="仿宋" w:cs="仿宋"/>
          <w:b w:val="0"/>
          <w:bCs w:val="0"/>
          <w:color w:val="000000"/>
          <w:sz w:val="32"/>
          <w:szCs w:val="32"/>
          <w:highlight w:val="none"/>
          <w:lang w:eastAsia="zh-CN"/>
        </w:rPr>
        <w:t>校级2分/次</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院级1分/次</w:t>
      </w:r>
      <w:r>
        <w:rPr>
          <w:rFonts w:hint="eastAsia" w:ascii="仿宋" w:hAnsi="仿宋" w:eastAsia="仿宋" w:cs="仿宋"/>
          <w:b w:val="0"/>
          <w:bCs w:val="0"/>
          <w:color w:val="000000"/>
          <w:sz w:val="32"/>
          <w:szCs w:val="32"/>
          <w:highlight w:val="none"/>
        </w:rPr>
        <w:t>）</w:t>
      </w:r>
    </w:p>
    <w:p w14:paraId="59C95A3A">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rPr>
        <w:t>.在各类官方媒体、主流网站、校级及以上报刊、经</w:t>
      </w:r>
      <w:r>
        <w:rPr>
          <w:rFonts w:hint="eastAsia" w:ascii="仿宋" w:hAnsi="仿宋" w:eastAsia="仿宋" w:cs="仿宋"/>
          <w:b w:val="0"/>
          <w:bCs w:val="0"/>
          <w:color w:val="000000"/>
          <w:sz w:val="32"/>
          <w:szCs w:val="32"/>
          <w:highlight w:val="none"/>
          <w:lang w:val="en-US" w:eastAsia="zh-CN"/>
        </w:rPr>
        <w:t>学院</w:t>
      </w:r>
      <w:r>
        <w:rPr>
          <w:rFonts w:hint="eastAsia" w:ascii="仿宋" w:hAnsi="仿宋" w:eastAsia="仿宋" w:cs="仿宋"/>
          <w:b w:val="0"/>
          <w:bCs w:val="0"/>
          <w:color w:val="000000"/>
          <w:sz w:val="32"/>
          <w:szCs w:val="32"/>
          <w:highlight w:val="none"/>
        </w:rPr>
        <w:t>认定的微信公众号等平台发表理论时评文章或新闻作品；（省级及以上</w:t>
      </w:r>
      <w:r>
        <w:rPr>
          <w:rFonts w:hint="eastAsia" w:ascii="仿宋" w:hAnsi="仿宋" w:eastAsia="仿宋" w:cs="仿宋"/>
          <w:b w:val="0"/>
          <w:bCs w:val="0"/>
          <w:color w:val="000000"/>
          <w:sz w:val="32"/>
          <w:szCs w:val="32"/>
          <w:highlight w:val="none"/>
          <w:lang w:val="en-US" w:eastAsia="zh-CN"/>
        </w:rPr>
        <w:t>5</w:t>
      </w:r>
      <w:r>
        <w:rPr>
          <w:rFonts w:hint="eastAsia" w:ascii="仿宋" w:hAnsi="仿宋" w:eastAsia="仿宋" w:cs="仿宋"/>
          <w:b w:val="0"/>
          <w:bCs w:val="0"/>
          <w:color w:val="000000"/>
          <w:sz w:val="32"/>
          <w:szCs w:val="32"/>
          <w:highlight w:val="none"/>
        </w:rPr>
        <w:t>分/篇，</w:t>
      </w:r>
      <w:r>
        <w:rPr>
          <w:rFonts w:hint="eastAsia" w:ascii="仿宋" w:hAnsi="仿宋" w:eastAsia="仿宋"/>
          <w:b w:val="0"/>
          <w:bCs w:val="0"/>
          <w:sz w:val="32"/>
          <w:szCs w:val="32"/>
          <w:highlight w:val="none"/>
        </w:rPr>
        <w:t>校级</w:t>
      </w:r>
      <w:r>
        <w:rPr>
          <w:rFonts w:hint="eastAsia" w:ascii="仿宋" w:hAnsi="仿宋" w:eastAsia="仿宋"/>
          <w:b w:val="0"/>
          <w:bCs w:val="0"/>
          <w:sz w:val="32"/>
          <w:szCs w:val="32"/>
          <w:highlight w:val="none"/>
          <w:lang w:val="en-US" w:eastAsia="zh-CN"/>
        </w:rPr>
        <w:t>2</w:t>
      </w:r>
      <w:r>
        <w:rPr>
          <w:rFonts w:hint="eastAsia" w:ascii="仿宋" w:hAnsi="仿宋" w:eastAsia="仿宋"/>
          <w:b w:val="0"/>
          <w:bCs w:val="0"/>
          <w:sz w:val="32"/>
          <w:szCs w:val="32"/>
          <w:highlight w:val="none"/>
        </w:rPr>
        <w:t>分</w:t>
      </w:r>
      <w:r>
        <w:rPr>
          <w:rFonts w:hint="eastAsia" w:ascii="仿宋" w:hAnsi="仿宋" w:eastAsia="仿宋" w:cs="仿宋"/>
          <w:b w:val="0"/>
          <w:bCs w:val="0"/>
          <w:color w:val="000000"/>
          <w:sz w:val="32"/>
          <w:szCs w:val="32"/>
          <w:highlight w:val="none"/>
        </w:rPr>
        <w:t>/篇</w:t>
      </w:r>
      <w:r>
        <w:rPr>
          <w:rFonts w:hint="eastAsia" w:ascii="仿宋" w:hAnsi="仿宋" w:eastAsia="仿宋"/>
          <w:b w:val="0"/>
          <w:bCs w:val="0"/>
          <w:sz w:val="32"/>
          <w:szCs w:val="32"/>
          <w:highlight w:val="none"/>
        </w:rPr>
        <w:t>，院级</w:t>
      </w:r>
      <w:r>
        <w:rPr>
          <w:rFonts w:hint="eastAsia" w:ascii="仿宋" w:hAnsi="仿宋" w:eastAsia="仿宋"/>
          <w:b w:val="0"/>
          <w:bCs w:val="0"/>
          <w:sz w:val="32"/>
          <w:szCs w:val="32"/>
          <w:highlight w:val="none"/>
          <w:lang w:val="en-US" w:eastAsia="zh-CN"/>
        </w:rPr>
        <w:t>1</w:t>
      </w:r>
      <w:r>
        <w:rPr>
          <w:rFonts w:hint="eastAsia" w:ascii="仿宋" w:hAnsi="仿宋" w:eastAsia="仿宋"/>
          <w:b w:val="0"/>
          <w:bCs w:val="0"/>
          <w:sz w:val="32"/>
          <w:szCs w:val="32"/>
          <w:highlight w:val="none"/>
        </w:rPr>
        <w:t>分</w:t>
      </w:r>
      <w:r>
        <w:rPr>
          <w:rFonts w:hint="eastAsia" w:ascii="仿宋" w:hAnsi="仿宋" w:eastAsia="仿宋" w:cs="仿宋"/>
          <w:b w:val="0"/>
          <w:bCs w:val="0"/>
          <w:color w:val="000000"/>
          <w:sz w:val="32"/>
          <w:szCs w:val="32"/>
          <w:highlight w:val="none"/>
        </w:rPr>
        <w:t>/篇</w:t>
      </w:r>
      <w:r>
        <w:rPr>
          <w:rFonts w:hint="eastAsia" w:ascii="仿宋" w:hAnsi="仿宋" w:eastAsia="仿宋"/>
          <w:b w:val="0"/>
          <w:bCs w:val="0"/>
          <w:sz w:val="32"/>
          <w:szCs w:val="32"/>
          <w:highlight w:val="none"/>
        </w:rPr>
        <w:t>，第二作者按80%计算加分，第三作者及以后按50%计算加分。）</w:t>
      </w:r>
    </w:p>
    <w:p w14:paraId="33F8F6B2">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（二）学科竞赛与生涯规划（15分）</w:t>
      </w:r>
    </w:p>
    <w:p w14:paraId="054389C6">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hint="eastAsia" w:ascii="仿宋" w:hAnsi="仿宋" w:eastAsia="仿宋"/>
          <w:b w:val="0"/>
          <w:bCs w:val="0"/>
          <w:sz w:val="32"/>
          <w:szCs w:val="32"/>
          <w:highlight w:val="none"/>
        </w:rPr>
      </w:pPr>
      <w:r>
        <w:rPr>
          <w:rFonts w:hint="eastAsia" w:ascii="仿宋" w:hAnsi="仿宋" w:eastAsia="仿宋" w:cs="仿宋"/>
          <w:b w:val="0"/>
          <w:bCs w:val="0"/>
          <w:color w:val="000000"/>
          <w:sz w:val="32"/>
          <w:szCs w:val="32"/>
          <w:highlight w:val="none"/>
        </w:rPr>
        <w:t>1.主持或参与各级各类学科竞赛及获奖情况；</w:t>
      </w:r>
      <w:r>
        <w:rPr>
          <w:rFonts w:hint="eastAsia" w:ascii="仿宋" w:hAnsi="仿宋" w:eastAsia="仿宋"/>
          <w:b w:val="0"/>
          <w:bCs w:val="0"/>
          <w:sz w:val="32"/>
          <w:szCs w:val="32"/>
          <w:highlight w:val="none"/>
        </w:rPr>
        <w:t>（省级以上竞赛项目以教务处承认的竞赛名目为准），如大学生数学建模竞赛、全国大学生市场调查与分析大赛等竞赛获得表彰的，计分见下表（同一项目只加最高分）：</w:t>
      </w:r>
    </w:p>
    <w:tbl>
      <w:tblPr>
        <w:tblStyle w:val="1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04"/>
        <w:gridCol w:w="1994"/>
        <w:gridCol w:w="2136"/>
        <w:gridCol w:w="2095"/>
      </w:tblGrid>
      <w:tr w14:paraId="11CBF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434" w:type="pct"/>
            <w:vAlign w:val="center"/>
          </w:tcPr>
          <w:p w14:paraId="4278ECBE">
            <w:pPr>
              <w:keepNext w:val="0"/>
              <w:keepLines w:val="0"/>
              <w:pageBreakBefore w:val="0"/>
              <w:widowControl w:val="0"/>
              <w:kinsoku/>
              <w:overflowPunct/>
              <w:topLinePunct w:val="0"/>
              <w:bidi w:val="0"/>
              <w:adjustRightInd w:val="0"/>
              <w:snapToGrid w:val="0"/>
              <w:spacing w:after="120" w:line="560" w:lineRule="exact"/>
              <w:ind w:firstLine="420"/>
              <w:jc w:val="center"/>
              <w:textAlignment w:val="auto"/>
              <w:rPr>
                <w:rFonts w:ascii="仿宋" w:hAnsi="仿宋" w:eastAsia="仿宋"/>
                <w:b w:val="0"/>
                <w:bCs w:val="0"/>
                <w:sz w:val="32"/>
                <w:szCs w:val="32"/>
                <w:highlight w:val="none"/>
              </w:rPr>
            </w:pPr>
            <w:r>
              <w:rPr>
                <w:rFonts w:ascii="仿宋" w:hAnsi="仿宋" w:eastAsia="仿宋"/>
                <w:b w:val="0"/>
                <w:bCs w:val="0"/>
                <w:position w:val="-28"/>
                <w:sz w:val="32"/>
                <w:szCs w:val="32"/>
                <w:highlight w:val="none"/>
              </w:rPr>
              <w:drawing>
                <wp:anchor distT="0" distB="0" distL="114300" distR="114300" simplePos="0" relativeHeight="251660288" behindDoc="1" locked="0" layoutInCell="1" allowOverlap="1">
                  <wp:simplePos x="0" y="0"/>
                  <wp:positionH relativeFrom="column">
                    <wp:posOffset>3810</wp:posOffset>
                  </wp:positionH>
                  <wp:positionV relativeFrom="paragraph">
                    <wp:posOffset>-635</wp:posOffset>
                  </wp:positionV>
                  <wp:extent cx="1551305" cy="671195"/>
                  <wp:effectExtent l="0" t="0" r="10795" b="14605"/>
                  <wp:wrapNone/>
                  <wp:docPr id="1" name="IM 14"/>
                  <wp:cNvGraphicFramePr/>
                  <a:graphic xmlns:a="http://schemas.openxmlformats.org/drawingml/2006/main">
                    <a:graphicData uri="http://schemas.openxmlformats.org/drawingml/2006/picture">
                      <pic:pic xmlns:pic="http://schemas.openxmlformats.org/drawingml/2006/picture">
                        <pic:nvPicPr>
                          <pic:cNvPr id="1" name="IM 14"/>
                          <pic:cNvPicPr/>
                        </pic:nvPicPr>
                        <pic:blipFill>
                          <a:blip r:embed="rId5"/>
                          <a:stretch>
                            <a:fillRect/>
                          </a:stretch>
                        </pic:blipFill>
                        <pic:spPr>
                          <a:xfrm>
                            <a:off x="0" y="0"/>
                            <a:ext cx="1551305" cy="671195"/>
                          </a:xfrm>
                          <a:prstGeom prst="rect">
                            <a:avLst/>
                          </a:prstGeom>
                          <a:noFill/>
                          <a:ln>
                            <a:noFill/>
                          </a:ln>
                        </pic:spPr>
                      </pic:pic>
                    </a:graphicData>
                  </a:graphic>
                </wp:anchor>
              </w:drawing>
            </w:r>
          </w:p>
        </w:tc>
        <w:tc>
          <w:tcPr>
            <w:tcW w:w="1142" w:type="pct"/>
            <w:vAlign w:val="center"/>
          </w:tcPr>
          <w:p w14:paraId="3BC7B7EF">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第一名</w:t>
            </w:r>
          </w:p>
        </w:tc>
        <w:tc>
          <w:tcPr>
            <w:tcW w:w="1223" w:type="pct"/>
            <w:vAlign w:val="center"/>
          </w:tcPr>
          <w:p w14:paraId="34994A25">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第二名</w:t>
            </w:r>
          </w:p>
        </w:tc>
        <w:tc>
          <w:tcPr>
            <w:tcW w:w="1199" w:type="pct"/>
            <w:vAlign w:val="center"/>
          </w:tcPr>
          <w:p w14:paraId="15060D71">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第三名</w:t>
            </w:r>
          </w:p>
        </w:tc>
      </w:tr>
      <w:tr w14:paraId="5535C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6436F3C5">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25"/>
                <w:sz w:val="32"/>
                <w:szCs w:val="32"/>
                <w:highlight w:val="none"/>
              </w:rPr>
              <w:t>国家级</w:t>
            </w:r>
          </w:p>
        </w:tc>
        <w:tc>
          <w:tcPr>
            <w:tcW w:w="1142" w:type="pct"/>
            <w:vAlign w:val="center"/>
          </w:tcPr>
          <w:p w14:paraId="0A4DD9F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3"/>
                <w:sz w:val="32"/>
                <w:szCs w:val="32"/>
                <w:highlight w:val="none"/>
                <w:lang w:val="en-US" w:eastAsia="zh-CN"/>
              </w:rPr>
              <w:t>1</w:t>
            </w:r>
            <w:r>
              <w:rPr>
                <w:rFonts w:ascii="仿宋" w:hAnsi="仿宋" w:eastAsia="仿宋"/>
                <w:b w:val="0"/>
                <w:bCs w:val="0"/>
                <w:spacing w:val="-3"/>
                <w:sz w:val="32"/>
                <w:szCs w:val="32"/>
                <w:highlight w:val="none"/>
              </w:rPr>
              <w:t>5.0</w:t>
            </w:r>
            <w:r>
              <w:rPr>
                <w:rFonts w:ascii="仿宋" w:hAnsi="仿宋" w:eastAsia="仿宋" w:cs="宋体"/>
                <w:b w:val="0"/>
                <w:bCs w:val="0"/>
                <w:spacing w:val="-3"/>
                <w:sz w:val="32"/>
                <w:szCs w:val="32"/>
                <w:highlight w:val="none"/>
              </w:rPr>
              <w:t>（</w:t>
            </w:r>
            <w:r>
              <w:rPr>
                <w:rFonts w:hint="eastAsia" w:ascii="仿宋" w:hAnsi="仿宋" w:eastAsia="仿宋"/>
                <w:b w:val="0"/>
                <w:bCs w:val="0"/>
                <w:spacing w:val="-3"/>
                <w:sz w:val="32"/>
                <w:szCs w:val="32"/>
                <w:highlight w:val="none"/>
                <w:lang w:val="en-US" w:eastAsia="zh-CN"/>
              </w:rPr>
              <w:t>13.0</w:t>
            </w:r>
            <w:r>
              <w:rPr>
                <w:rFonts w:ascii="仿宋" w:hAnsi="仿宋" w:eastAsia="仿宋" w:cs="宋体"/>
                <w:b w:val="0"/>
                <w:bCs w:val="0"/>
                <w:spacing w:val="-3"/>
                <w:sz w:val="32"/>
                <w:szCs w:val="32"/>
                <w:highlight w:val="none"/>
              </w:rPr>
              <w:t>）</w:t>
            </w:r>
          </w:p>
        </w:tc>
        <w:tc>
          <w:tcPr>
            <w:tcW w:w="1223" w:type="pct"/>
            <w:vAlign w:val="center"/>
          </w:tcPr>
          <w:p w14:paraId="1DDF0AFD">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14.0</w:t>
            </w:r>
            <w:r>
              <w:rPr>
                <w:rFonts w:ascii="仿宋" w:hAnsi="仿宋" w:eastAsia="仿宋" w:cs="宋体"/>
                <w:b w:val="0"/>
                <w:bCs w:val="0"/>
                <w:sz w:val="32"/>
                <w:szCs w:val="32"/>
                <w:highlight w:val="none"/>
              </w:rPr>
              <w:t>（</w:t>
            </w:r>
            <w:r>
              <w:rPr>
                <w:rFonts w:hint="eastAsia" w:ascii="仿宋" w:hAnsi="仿宋" w:eastAsia="仿宋"/>
                <w:b w:val="0"/>
                <w:bCs w:val="0"/>
                <w:sz w:val="32"/>
                <w:szCs w:val="32"/>
                <w:highlight w:val="none"/>
                <w:lang w:val="en-US" w:eastAsia="zh-CN"/>
              </w:rPr>
              <w:t>12.0</w:t>
            </w:r>
            <w:r>
              <w:rPr>
                <w:rFonts w:ascii="仿宋" w:hAnsi="仿宋" w:eastAsia="仿宋" w:cs="宋体"/>
                <w:b w:val="0"/>
                <w:bCs w:val="0"/>
                <w:sz w:val="32"/>
                <w:szCs w:val="32"/>
                <w:highlight w:val="none"/>
              </w:rPr>
              <w:t>）</w:t>
            </w:r>
          </w:p>
        </w:tc>
        <w:tc>
          <w:tcPr>
            <w:tcW w:w="1199" w:type="pct"/>
            <w:vAlign w:val="center"/>
          </w:tcPr>
          <w:p w14:paraId="27C31B2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5"/>
                <w:sz w:val="32"/>
                <w:szCs w:val="32"/>
                <w:highlight w:val="none"/>
                <w:lang w:val="en-US" w:eastAsia="zh-CN"/>
              </w:rPr>
              <w:t>13.0</w:t>
            </w:r>
            <w:r>
              <w:rPr>
                <w:rFonts w:ascii="仿宋" w:hAnsi="仿宋" w:eastAsia="仿宋" w:cs="宋体"/>
                <w:b w:val="0"/>
                <w:bCs w:val="0"/>
                <w:spacing w:val="-5"/>
                <w:sz w:val="32"/>
                <w:szCs w:val="32"/>
                <w:highlight w:val="none"/>
              </w:rPr>
              <w:t>（</w:t>
            </w:r>
            <w:r>
              <w:rPr>
                <w:rFonts w:hint="eastAsia" w:ascii="仿宋" w:hAnsi="仿宋" w:eastAsia="仿宋"/>
                <w:b w:val="0"/>
                <w:bCs w:val="0"/>
                <w:spacing w:val="-5"/>
                <w:sz w:val="32"/>
                <w:szCs w:val="32"/>
                <w:highlight w:val="none"/>
                <w:lang w:val="en-US" w:eastAsia="zh-CN"/>
              </w:rPr>
              <w:t>11.0</w:t>
            </w:r>
            <w:r>
              <w:rPr>
                <w:rFonts w:ascii="仿宋" w:hAnsi="仿宋" w:eastAsia="仿宋" w:cs="宋体"/>
                <w:b w:val="0"/>
                <w:bCs w:val="0"/>
                <w:spacing w:val="-5"/>
                <w:sz w:val="32"/>
                <w:szCs w:val="32"/>
                <w:highlight w:val="none"/>
              </w:rPr>
              <w:t>）</w:t>
            </w:r>
          </w:p>
        </w:tc>
      </w:tr>
      <w:tr w14:paraId="40356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1A1F981C">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11"/>
                <w:sz w:val="32"/>
                <w:szCs w:val="32"/>
                <w:highlight w:val="none"/>
              </w:rPr>
              <w:t>省部级</w:t>
            </w:r>
          </w:p>
        </w:tc>
        <w:tc>
          <w:tcPr>
            <w:tcW w:w="1142" w:type="pct"/>
            <w:vAlign w:val="center"/>
          </w:tcPr>
          <w:p w14:paraId="3565E957">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5"/>
                <w:sz w:val="32"/>
                <w:szCs w:val="32"/>
                <w:highlight w:val="none"/>
                <w:lang w:val="en-US" w:eastAsia="zh-CN"/>
              </w:rPr>
              <w:t>12.0</w:t>
            </w:r>
            <w:r>
              <w:rPr>
                <w:rFonts w:ascii="仿宋" w:hAnsi="仿宋" w:eastAsia="仿宋" w:cs="宋体"/>
                <w:b w:val="0"/>
                <w:bCs w:val="0"/>
                <w:spacing w:val="-5"/>
                <w:sz w:val="32"/>
                <w:szCs w:val="32"/>
                <w:highlight w:val="none"/>
              </w:rPr>
              <w:t>（</w:t>
            </w:r>
            <w:r>
              <w:rPr>
                <w:rFonts w:hint="eastAsia" w:ascii="仿宋" w:hAnsi="仿宋" w:eastAsia="仿宋"/>
                <w:b w:val="0"/>
                <w:bCs w:val="0"/>
                <w:spacing w:val="-5"/>
                <w:sz w:val="32"/>
                <w:szCs w:val="32"/>
                <w:highlight w:val="none"/>
                <w:lang w:val="en-US" w:eastAsia="zh-CN"/>
              </w:rPr>
              <w:t>10.0</w:t>
            </w:r>
            <w:r>
              <w:rPr>
                <w:rFonts w:ascii="仿宋" w:hAnsi="仿宋" w:eastAsia="仿宋" w:cs="宋体"/>
                <w:b w:val="0"/>
                <w:bCs w:val="0"/>
                <w:spacing w:val="-5"/>
                <w:sz w:val="32"/>
                <w:szCs w:val="32"/>
                <w:highlight w:val="none"/>
              </w:rPr>
              <w:t>）</w:t>
            </w:r>
          </w:p>
        </w:tc>
        <w:tc>
          <w:tcPr>
            <w:tcW w:w="1223" w:type="pct"/>
            <w:vAlign w:val="center"/>
          </w:tcPr>
          <w:p w14:paraId="4B1B88BF">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2"/>
                <w:sz w:val="32"/>
                <w:szCs w:val="32"/>
                <w:highlight w:val="none"/>
                <w:lang w:val="en-US" w:eastAsia="zh-CN"/>
              </w:rPr>
              <w:t>11.0</w:t>
            </w:r>
            <w:r>
              <w:rPr>
                <w:rFonts w:ascii="仿宋" w:hAnsi="仿宋" w:eastAsia="仿宋" w:cs="宋体"/>
                <w:b w:val="0"/>
                <w:bCs w:val="0"/>
                <w:spacing w:val="-2"/>
                <w:sz w:val="32"/>
                <w:szCs w:val="32"/>
                <w:highlight w:val="none"/>
              </w:rPr>
              <w:t>（</w:t>
            </w:r>
            <w:r>
              <w:rPr>
                <w:rFonts w:hint="eastAsia" w:ascii="仿宋" w:hAnsi="仿宋" w:eastAsia="仿宋" w:cs="宋体"/>
                <w:b w:val="0"/>
                <w:bCs w:val="0"/>
                <w:spacing w:val="-2"/>
                <w:sz w:val="32"/>
                <w:szCs w:val="32"/>
                <w:highlight w:val="none"/>
                <w:lang w:val="en-US" w:eastAsia="zh-CN"/>
              </w:rPr>
              <w:t>9</w:t>
            </w:r>
            <w:r>
              <w:rPr>
                <w:rFonts w:hint="eastAsia" w:ascii="仿宋" w:hAnsi="仿宋" w:eastAsia="仿宋"/>
                <w:b w:val="0"/>
                <w:bCs w:val="0"/>
                <w:spacing w:val="-2"/>
                <w:sz w:val="32"/>
                <w:szCs w:val="32"/>
                <w:highlight w:val="none"/>
                <w:lang w:val="en-US" w:eastAsia="zh-CN"/>
              </w:rPr>
              <w:t>.0</w:t>
            </w:r>
            <w:r>
              <w:rPr>
                <w:rFonts w:ascii="仿宋" w:hAnsi="仿宋" w:eastAsia="仿宋" w:cs="宋体"/>
                <w:b w:val="0"/>
                <w:bCs w:val="0"/>
                <w:spacing w:val="-2"/>
                <w:sz w:val="32"/>
                <w:szCs w:val="32"/>
                <w:highlight w:val="none"/>
              </w:rPr>
              <w:t>）</w:t>
            </w:r>
          </w:p>
        </w:tc>
        <w:tc>
          <w:tcPr>
            <w:tcW w:w="1199" w:type="pct"/>
            <w:vAlign w:val="center"/>
          </w:tcPr>
          <w:p w14:paraId="3B005A84">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2"/>
                <w:sz w:val="32"/>
                <w:szCs w:val="32"/>
                <w:highlight w:val="none"/>
                <w:lang w:val="en-US" w:eastAsia="zh-CN"/>
              </w:rPr>
              <w:t>10.0</w:t>
            </w:r>
            <w:r>
              <w:rPr>
                <w:rFonts w:ascii="仿宋" w:hAnsi="仿宋" w:eastAsia="仿宋" w:cs="宋体"/>
                <w:b w:val="0"/>
                <w:bCs w:val="0"/>
                <w:spacing w:val="-2"/>
                <w:sz w:val="32"/>
                <w:szCs w:val="32"/>
                <w:highlight w:val="none"/>
              </w:rPr>
              <w:t>（</w:t>
            </w:r>
            <w:r>
              <w:rPr>
                <w:rFonts w:hint="eastAsia" w:ascii="仿宋" w:hAnsi="仿宋" w:eastAsia="仿宋"/>
                <w:b w:val="0"/>
                <w:bCs w:val="0"/>
                <w:spacing w:val="-2"/>
                <w:sz w:val="32"/>
                <w:szCs w:val="32"/>
                <w:highlight w:val="none"/>
                <w:lang w:val="en-US" w:eastAsia="zh-CN"/>
              </w:rPr>
              <w:t>8.0</w:t>
            </w:r>
            <w:r>
              <w:rPr>
                <w:rFonts w:ascii="仿宋" w:hAnsi="仿宋" w:eastAsia="仿宋" w:cs="宋体"/>
                <w:b w:val="0"/>
                <w:bCs w:val="0"/>
                <w:spacing w:val="-2"/>
                <w:sz w:val="32"/>
                <w:szCs w:val="32"/>
                <w:highlight w:val="none"/>
              </w:rPr>
              <w:t>）</w:t>
            </w:r>
          </w:p>
        </w:tc>
      </w:tr>
      <w:tr w14:paraId="7657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0E83461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9"/>
                <w:sz w:val="32"/>
                <w:szCs w:val="32"/>
                <w:highlight w:val="none"/>
              </w:rPr>
              <w:t>校级</w:t>
            </w:r>
          </w:p>
        </w:tc>
        <w:tc>
          <w:tcPr>
            <w:tcW w:w="1142" w:type="pct"/>
            <w:vAlign w:val="center"/>
          </w:tcPr>
          <w:p w14:paraId="6DB558F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2"/>
                <w:sz w:val="32"/>
                <w:szCs w:val="32"/>
                <w:highlight w:val="none"/>
                <w:lang w:val="en-US" w:eastAsia="zh-CN"/>
              </w:rPr>
              <w:t>9.0</w:t>
            </w:r>
            <w:r>
              <w:rPr>
                <w:rFonts w:ascii="仿宋" w:hAnsi="仿宋" w:eastAsia="仿宋" w:cs="宋体"/>
                <w:b w:val="0"/>
                <w:bCs w:val="0"/>
                <w:spacing w:val="-2"/>
                <w:sz w:val="32"/>
                <w:szCs w:val="32"/>
                <w:highlight w:val="none"/>
              </w:rPr>
              <w:t>（</w:t>
            </w:r>
            <w:r>
              <w:rPr>
                <w:rFonts w:hint="eastAsia" w:ascii="仿宋" w:hAnsi="仿宋" w:eastAsia="仿宋"/>
                <w:b w:val="0"/>
                <w:bCs w:val="0"/>
                <w:spacing w:val="-2"/>
                <w:sz w:val="32"/>
                <w:szCs w:val="32"/>
                <w:highlight w:val="none"/>
                <w:lang w:val="en-US" w:eastAsia="zh-CN"/>
              </w:rPr>
              <w:t>7.0</w:t>
            </w:r>
            <w:r>
              <w:rPr>
                <w:rFonts w:ascii="仿宋" w:hAnsi="仿宋" w:eastAsia="仿宋" w:cs="宋体"/>
                <w:b w:val="0"/>
                <w:bCs w:val="0"/>
                <w:spacing w:val="-2"/>
                <w:sz w:val="32"/>
                <w:szCs w:val="32"/>
                <w:highlight w:val="none"/>
              </w:rPr>
              <w:t>）</w:t>
            </w:r>
          </w:p>
        </w:tc>
        <w:tc>
          <w:tcPr>
            <w:tcW w:w="1223" w:type="pct"/>
            <w:vAlign w:val="center"/>
          </w:tcPr>
          <w:p w14:paraId="2FB9B148">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1"/>
                <w:sz w:val="32"/>
                <w:szCs w:val="32"/>
                <w:highlight w:val="none"/>
                <w:lang w:val="en-US" w:eastAsia="zh-CN"/>
              </w:rPr>
              <w:t>8.0</w:t>
            </w:r>
            <w:r>
              <w:rPr>
                <w:rFonts w:ascii="仿宋" w:hAnsi="仿宋" w:eastAsia="仿宋" w:cs="宋体"/>
                <w:b w:val="0"/>
                <w:bCs w:val="0"/>
                <w:spacing w:val="-1"/>
                <w:sz w:val="32"/>
                <w:szCs w:val="32"/>
                <w:highlight w:val="none"/>
              </w:rPr>
              <w:t>（</w:t>
            </w:r>
            <w:r>
              <w:rPr>
                <w:rFonts w:hint="eastAsia" w:ascii="仿宋" w:hAnsi="仿宋" w:eastAsia="仿宋"/>
                <w:b w:val="0"/>
                <w:bCs w:val="0"/>
                <w:spacing w:val="-1"/>
                <w:sz w:val="32"/>
                <w:szCs w:val="32"/>
                <w:highlight w:val="none"/>
                <w:lang w:val="en-US" w:eastAsia="zh-CN"/>
              </w:rPr>
              <w:t>6.0</w:t>
            </w:r>
            <w:r>
              <w:rPr>
                <w:rFonts w:ascii="仿宋" w:hAnsi="仿宋" w:eastAsia="仿宋" w:cs="宋体"/>
                <w:b w:val="0"/>
                <w:bCs w:val="0"/>
                <w:spacing w:val="-1"/>
                <w:sz w:val="32"/>
                <w:szCs w:val="32"/>
                <w:highlight w:val="none"/>
              </w:rPr>
              <w:t>）</w:t>
            </w:r>
          </w:p>
        </w:tc>
        <w:tc>
          <w:tcPr>
            <w:tcW w:w="1199" w:type="pct"/>
            <w:vAlign w:val="center"/>
          </w:tcPr>
          <w:p w14:paraId="7588E08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1"/>
                <w:sz w:val="32"/>
                <w:szCs w:val="32"/>
                <w:highlight w:val="none"/>
                <w:lang w:val="en-US" w:eastAsia="zh-CN"/>
              </w:rPr>
              <w:t>7.0</w:t>
            </w:r>
            <w:r>
              <w:rPr>
                <w:rFonts w:ascii="仿宋" w:hAnsi="仿宋" w:eastAsia="仿宋" w:cs="宋体"/>
                <w:b w:val="0"/>
                <w:bCs w:val="0"/>
                <w:spacing w:val="-1"/>
                <w:sz w:val="32"/>
                <w:szCs w:val="32"/>
                <w:highlight w:val="none"/>
              </w:rPr>
              <w:t>（</w:t>
            </w:r>
            <w:r>
              <w:rPr>
                <w:rFonts w:hint="eastAsia" w:ascii="仿宋" w:hAnsi="仿宋" w:eastAsia="仿宋"/>
                <w:b w:val="0"/>
                <w:bCs w:val="0"/>
                <w:spacing w:val="-1"/>
                <w:sz w:val="32"/>
                <w:szCs w:val="32"/>
                <w:highlight w:val="none"/>
                <w:lang w:val="en-US" w:eastAsia="zh-CN"/>
              </w:rPr>
              <w:t>5.0</w:t>
            </w:r>
            <w:r>
              <w:rPr>
                <w:rFonts w:ascii="仿宋" w:hAnsi="仿宋" w:eastAsia="仿宋" w:cs="宋体"/>
                <w:b w:val="0"/>
                <w:bCs w:val="0"/>
                <w:spacing w:val="-1"/>
                <w:sz w:val="32"/>
                <w:szCs w:val="32"/>
                <w:highlight w:val="none"/>
              </w:rPr>
              <w:t>）</w:t>
            </w:r>
          </w:p>
        </w:tc>
      </w:tr>
      <w:tr w14:paraId="37360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1722B4C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18"/>
                <w:sz w:val="32"/>
                <w:szCs w:val="32"/>
                <w:highlight w:val="none"/>
              </w:rPr>
              <w:t>院级</w:t>
            </w:r>
          </w:p>
        </w:tc>
        <w:tc>
          <w:tcPr>
            <w:tcW w:w="1142" w:type="pct"/>
            <w:vAlign w:val="center"/>
          </w:tcPr>
          <w:p w14:paraId="5F4DD718">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1"/>
                <w:sz w:val="32"/>
                <w:szCs w:val="32"/>
                <w:highlight w:val="none"/>
                <w:lang w:val="en-US" w:eastAsia="zh-CN"/>
              </w:rPr>
              <w:t>6.0</w:t>
            </w:r>
            <w:r>
              <w:rPr>
                <w:rFonts w:ascii="仿宋" w:hAnsi="仿宋" w:eastAsia="仿宋" w:cs="宋体"/>
                <w:b w:val="0"/>
                <w:bCs w:val="0"/>
                <w:spacing w:val="-1"/>
                <w:sz w:val="32"/>
                <w:szCs w:val="32"/>
                <w:highlight w:val="none"/>
              </w:rPr>
              <w:t>（</w:t>
            </w:r>
            <w:r>
              <w:rPr>
                <w:rFonts w:hint="eastAsia" w:ascii="仿宋" w:hAnsi="仿宋" w:eastAsia="仿宋"/>
                <w:b w:val="0"/>
                <w:bCs w:val="0"/>
                <w:spacing w:val="-1"/>
                <w:sz w:val="32"/>
                <w:szCs w:val="32"/>
                <w:highlight w:val="none"/>
                <w:lang w:val="en-US" w:eastAsia="zh-CN"/>
              </w:rPr>
              <w:t>4.0</w:t>
            </w:r>
            <w:r>
              <w:rPr>
                <w:rFonts w:ascii="仿宋" w:hAnsi="仿宋" w:eastAsia="仿宋" w:cs="宋体"/>
                <w:b w:val="0"/>
                <w:bCs w:val="0"/>
                <w:spacing w:val="-1"/>
                <w:sz w:val="32"/>
                <w:szCs w:val="32"/>
                <w:highlight w:val="none"/>
              </w:rPr>
              <w:t>）</w:t>
            </w:r>
          </w:p>
        </w:tc>
        <w:tc>
          <w:tcPr>
            <w:tcW w:w="1223" w:type="pct"/>
            <w:vAlign w:val="center"/>
          </w:tcPr>
          <w:p w14:paraId="03D09E3F">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1"/>
                <w:sz w:val="32"/>
                <w:szCs w:val="32"/>
                <w:highlight w:val="none"/>
                <w:lang w:val="en-US" w:eastAsia="zh-CN"/>
              </w:rPr>
              <w:t>5.0</w:t>
            </w:r>
            <w:r>
              <w:rPr>
                <w:rFonts w:ascii="仿宋" w:hAnsi="仿宋" w:eastAsia="仿宋" w:cs="宋体"/>
                <w:b w:val="0"/>
                <w:bCs w:val="0"/>
                <w:spacing w:val="-1"/>
                <w:sz w:val="32"/>
                <w:szCs w:val="32"/>
                <w:highlight w:val="none"/>
              </w:rPr>
              <w:t>（</w:t>
            </w:r>
            <w:r>
              <w:rPr>
                <w:rFonts w:hint="eastAsia" w:ascii="仿宋" w:hAnsi="仿宋" w:eastAsia="仿宋"/>
                <w:b w:val="0"/>
                <w:bCs w:val="0"/>
                <w:spacing w:val="-1"/>
                <w:sz w:val="32"/>
                <w:szCs w:val="32"/>
                <w:highlight w:val="none"/>
                <w:lang w:val="en-US" w:eastAsia="zh-CN"/>
              </w:rPr>
              <w:t>3.0</w:t>
            </w:r>
            <w:r>
              <w:rPr>
                <w:rFonts w:ascii="仿宋" w:hAnsi="仿宋" w:eastAsia="仿宋" w:cs="宋体"/>
                <w:b w:val="0"/>
                <w:bCs w:val="0"/>
                <w:spacing w:val="-1"/>
                <w:sz w:val="32"/>
                <w:szCs w:val="32"/>
                <w:highlight w:val="none"/>
              </w:rPr>
              <w:t>）</w:t>
            </w:r>
          </w:p>
        </w:tc>
        <w:tc>
          <w:tcPr>
            <w:tcW w:w="1199" w:type="pct"/>
            <w:vAlign w:val="center"/>
          </w:tcPr>
          <w:p w14:paraId="2C9E0CE9">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pacing w:val="-4"/>
                <w:sz w:val="32"/>
                <w:szCs w:val="32"/>
                <w:highlight w:val="none"/>
                <w:lang w:val="en-US" w:eastAsia="zh-CN"/>
              </w:rPr>
              <w:t>4.0</w:t>
            </w:r>
            <w:r>
              <w:rPr>
                <w:rFonts w:ascii="仿宋" w:hAnsi="仿宋" w:eastAsia="仿宋" w:cs="宋体"/>
                <w:b w:val="0"/>
                <w:bCs w:val="0"/>
                <w:spacing w:val="-4"/>
                <w:sz w:val="32"/>
                <w:szCs w:val="32"/>
                <w:highlight w:val="none"/>
              </w:rPr>
              <w:t>（</w:t>
            </w:r>
            <w:r>
              <w:rPr>
                <w:rFonts w:hint="eastAsia" w:ascii="仿宋" w:hAnsi="仿宋" w:eastAsia="仿宋"/>
                <w:b w:val="0"/>
                <w:bCs w:val="0"/>
                <w:spacing w:val="-4"/>
                <w:sz w:val="32"/>
                <w:szCs w:val="32"/>
                <w:highlight w:val="none"/>
                <w:lang w:val="en-US" w:eastAsia="zh-CN"/>
              </w:rPr>
              <w:t>2.0</w:t>
            </w:r>
            <w:r>
              <w:rPr>
                <w:rFonts w:ascii="仿宋" w:hAnsi="仿宋" w:eastAsia="仿宋" w:cs="宋体"/>
                <w:b w:val="0"/>
                <w:bCs w:val="0"/>
                <w:spacing w:val="-4"/>
                <w:sz w:val="32"/>
                <w:szCs w:val="32"/>
                <w:highlight w:val="none"/>
              </w:rPr>
              <w:t>）</w:t>
            </w:r>
          </w:p>
        </w:tc>
      </w:tr>
    </w:tbl>
    <w:p w14:paraId="2C45A244">
      <w:pPr>
        <w:pStyle w:val="3"/>
        <w:keepNext w:val="0"/>
        <w:keepLines w:val="0"/>
        <w:pageBreakBefore w:val="0"/>
        <w:widowControl w:val="0"/>
        <w:kinsoku/>
        <w:wordWrap/>
        <w:overflowPunct/>
        <w:topLinePunct w:val="0"/>
        <w:autoSpaceDE/>
        <w:autoSpaceDN/>
        <w:bidi w:val="0"/>
        <w:adjustRightInd/>
        <w:snapToGrid/>
        <w:spacing w:before="0" w:after="120" w:line="560" w:lineRule="exact"/>
        <w:ind w:left="0" w:leftChars="0" w:firstLine="560" w:firstLineChars="200"/>
        <w:textAlignment w:val="auto"/>
        <w:rPr>
          <w:rFonts w:hint="eastAsia" w:ascii="仿宋" w:hAnsi="仿宋" w:eastAsia="仿宋"/>
          <w:b w:val="0"/>
          <w:bCs w:val="0"/>
          <w:color w:val="000000"/>
          <w:sz w:val="28"/>
          <w:szCs w:val="28"/>
          <w:highlight w:val="none"/>
        </w:rPr>
      </w:pPr>
      <w:r>
        <w:rPr>
          <w:rFonts w:hint="eastAsia" w:ascii="仿宋" w:hAnsi="仿宋" w:eastAsia="仿宋"/>
          <w:b w:val="0"/>
          <w:bCs w:val="0"/>
          <w:color w:val="000000"/>
          <w:sz w:val="28"/>
          <w:szCs w:val="28"/>
          <w:highlight w:val="none"/>
        </w:rPr>
        <w:t>备注：括号外是队长的分数，括号内是队员的分数；学校承认的学科竞赛已放置《附件1：国家级、省级、校级学科竞赛项目汇总表》中。</w:t>
      </w:r>
    </w:p>
    <w:p w14:paraId="7AA28A1E">
      <w:pPr>
        <w:keepNext w:val="0"/>
        <w:keepLines w:val="0"/>
        <w:pageBreakBefore w:val="0"/>
        <w:widowControl w:val="0"/>
        <w:kinsoku/>
        <w:wordWrap/>
        <w:overflowPunct/>
        <w:topLinePunct w:val="0"/>
        <w:autoSpaceDE/>
        <w:autoSpaceDN/>
        <w:bidi w:val="0"/>
        <w:adjustRightInd w:val="0"/>
        <w:snapToGrid w:val="0"/>
        <w:spacing w:before="0" w:after="120" w:line="560" w:lineRule="exact"/>
        <w:ind w:firstLine="640" w:firstLineChars="200"/>
        <w:textAlignment w:val="auto"/>
        <w:rPr>
          <w:rFonts w:ascii="仿宋" w:hAnsi="仿宋" w:eastAsia="仿宋"/>
          <w:b w:val="0"/>
          <w:bCs w:val="0"/>
          <w:sz w:val="32"/>
          <w:szCs w:val="32"/>
          <w:highlight w:val="none"/>
        </w:rPr>
      </w:pPr>
      <w:r>
        <w:rPr>
          <w:rFonts w:hint="eastAsia" w:ascii="仿宋" w:hAnsi="仿宋" w:eastAsia="仿宋" w:cs="仿宋"/>
          <w:b w:val="0"/>
          <w:bCs w:val="0"/>
          <w:color w:val="000000"/>
          <w:sz w:val="32"/>
          <w:szCs w:val="32"/>
          <w:highlight w:val="none"/>
        </w:rPr>
        <w:t>2.外语学习能力考察；（入学</w:t>
      </w:r>
      <w:r>
        <w:rPr>
          <w:rFonts w:hint="eastAsia" w:ascii="仿宋" w:hAnsi="仿宋" w:eastAsia="仿宋"/>
          <w:b w:val="0"/>
          <w:bCs w:val="0"/>
          <w:sz w:val="32"/>
          <w:szCs w:val="32"/>
          <w:highlight w:val="none"/>
        </w:rPr>
        <w:t>第一学年</w:t>
      </w:r>
      <w:r>
        <w:rPr>
          <w:rFonts w:hint="eastAsia" w:ascii="仿宋" w:hAnsi="仿宋" w:eastAsia="仿宋"/>
          <w:b w:val="0"/>
          <w:bCs w:val="0"/>
          <w:sz w:val="32"/>
          <w:szCs w:val="32"/>
          <w:highlight w:val="none"/>
          <w:lang w:val="en-US" w:eastAsia="zh-CN"/>
        </w:rPr>
        <w:t>首次</w:t>
      </w:r>
      <w:r>
        <w:rPr>
          <w:rFonts w:hint="eastAsia" w:ascii="仿宋" w:hAnsi="仿宋" w:eastAsia="仿宋"/>
          <w:b w:val="0"/>
          <w:bCs w:val="0"/>
          <w:sz w:val="32"/>
          <w:szCs w:val="32"/>
          <w:highlight w:val="none"/>
        </w:rPr>
        <w:t>通过外语四级加</w:t>
      </w:r>
      <w:r>
        <w:rPr>
          <w:rFonts w:hint="eastAsia" w:ascii="仿宋" w:hAnsi="仿宋" w:eastAsia="仿宋"/>
          <w:b w:val="0"/>
          <w:bCs w:val="0"/>
          <w:sz w:val="32"/>
          <w:szCs w:val="32"/>
          <w:highlight w:val="none"/>
          <w:lang w:val="en-US" w:eastAsia="zh-CN"/>
        </w:rPr>
        <w:t>4</w:t>
      </w:r>
      <w:r>
        <w:rPr>
          <w:rFonts w:hint="eastAsia" w:ascii="仿宋" w:hAnsi="仿宋" w:eastAsia="仿宋"/>
          <w:b w:val="0"/>
          <w:bCs w:val="0"/>
          <w:sz w:val="32"/>
          <w:szCs w:val="32"/>
          <w:highlight w:val="none"/>
        </w:rPr>
        <w:t>分;第二学年至第四学年</w:t>
      </w:r>
      <w:r>
        <w:rPr>
          <w:rFonts w:hint="eastAsia" w:ascii="仿宋" w:hAnsi="仿宋" w:eastAsia="仿宋"/>
          <w:b w:val="0"/>
          <w:bCs w:val="0"/>
          <w:sz w:val="32"/>
          <w:szCs w:val="32"/>
          <w:highlight w:val="none"/>
          <w:lang w:val="en-US" w:eastAsia="zh-CN"/>
        </w:rPr>
        <w:t>首次</w:t>
      </w:r>
      <w:r>
        <w:rPr>
          <w:rFonts w:hint="eastAsia" w:ascii="仿宋" w:hAnsi="仿宋" w:eastAsia="仿宋"/>
          <w:b w:val="0"/>
          <w:bCs w:val="0"/>
          <w:sz w:val="32"/>
          <w:szCs w:val="32"/>
          <w:highlight w:val="none"/>
        </w:rPr>
        <w:t>通过外语四级不加分、</w:t>
      </w:r>
      <w:r>
        <w:rPr>
          <w:rFonts w:hint="eastAsia" w:ascii="仿宋" w:hAnsi="仿宋" w:eastAsia="仿宋"/>
          <w:b w:val="0"/>
          <w:bCs w:val="0"/>
          <w:sz w:val="32"/>
          <w:szCs w:val="32"/>
          <w:highlight w:val="none"/>
          <w:lang w:val="en-US" w:eastAsia="zh-CN"/>
        </w:rPr>
        <w:t>首次通过</w:t>
      </w:r>
      <w:r>
        <w:rPr>
          <w:rFonts w:hint="eastAsia" w:ascii="仿宋" w:hAnsi="仿宋" w:eastAsia="仿宋"/>
          <w:b w:val="0"/>
          <w:bCs w:val="0"/>
          <w:sz w:val="32"/>
          <w:szCs w:val="32"/>
          <w:highlight w:val="none"/>
        </w:rPr>
        <w:t>六级加</w:t>
      </w:r>
      <w:r>
        <w:rPr>
          <w:rFonts w:hint="eastAsia" w:ascii="仿宋" w:hAnsi="仿宋" w:eastAsia="仿宋"/>
          <w:b w:val="0"/>
          <w:bCs w:val="0"/>
          <w:sz w:val="32"/>
          <w:szCs w:val="32"/>
          <w:highlight w:val="none"/>
          <w:lang w:val="en-US" w:eastAsia="zh-CN"/>
        </w:rPr>
        <w:t>4</w:t>
      </w:r>
      <w:r>
        <w:rPr>
          <w:rFonts w:hint="eastAsia" w:ascii="仿宋" w:hAnsi="仿宋" w:eastAsia="仿宋"/>
          <w:b w:val="0"/>
          <w:bCs w:val="0"/>
          <w:sz w:val="32"/>
          <w:szCs w:val="32"/>
          <w:highlight w:val="none"/>
        </w:rPr>
        <w:t>分;</w:t>
      </w:r>
      <w:r>
        <w:rPr>
          <w:rFonts w:hint="eastAsia" w:ascii="仿宋" w:hAnsi="仿宋" w:eastAsia="仿宋"/>
          <w:b w:val="0"/>
          <w:bCs w:val="0"/>
          <w:sz w:val="32"/>
          <w:szCs w:val="32"/>
          <w:highlight w:val="none"/>
          <w:lang w:val="en-US" w:eastAsia="zh-CN"/>
        </w:rPr>
        <w:t>首次</w:t>
      </w:r>
      <w:r>
        <w:rPr>
          <w:rFonts w:hint="eastAsia" w:ascii="仿宋" w:hAnsi="仿宋" w:eastAsia="仿宋"/>
          <w:b w:val="0"/>
          <w:bCs w:val="0"/>
          <w:sz w:val="32"/>
          <w:szCs w:val="32"/>
          <w:highlight w:val="none"/>
        </w:rPr>
        <w:t>通过全国外语口语考试优秀加</w:t>
      </w:r>
      <w:r>
        <w:rPr>
          <w:rFonts w:hint="eastAsia" w:ascii="仿宋" w:hAnsi="仿宋" w:eastAsia="仿宋"/>
          <w:b w:val="0"/>
          <w:bCs w:val="0"/>
          <w:sz w:val="32"/>
          <w:szCs w:val="32"/>
          <w:highlight w:val="none"/>
          <w:lang w:val="en-US" w:eastAsia="zh-CN"/>
        </w:rPr>
        <w:t>6</w:t>
      </w:r>
      <w:r>
        <w:rPr>
          <w:rFonts w:hint="eastAsia" w:ascii="仿宋" w:hAnsi="仿宋" w:eastAsia="仿宋"/>
          <w:b w:val="0"/>
          <w:bCs w:val="0"/>
          <w:sz w:val="32"/>
          <w:szCs w:val="32"/>
          <w:highlight w:val="none"/>
        </w:rPr>
        <w:t>分，良好加</w:t>
      </w:r>
      <w:r>
        <w:rPr>
          <w:rFonts w:hint="eastAsia" w:ascii="仿宋" w:hAnsi="仿宋" w:eastAsia="仿宋"/>
          <w:b w:val="0"/>
          <w:bCs w:val="0"/>
          <w:sz w:val="32"/>
          <w:szCs w:val="32"/>
          <w:highlight w:val="none"/>
          <w:lang w:val="en-US" w:eastAsia="zh-CN"/>
        </w:rPr>
        <w:t>4</w:t>
      </w:r>
      <w:r>
        <w:rPr>
          <w:rFonts w:hint="eastAsia" w:ascii="仿宋" w:hAnsi="仿宋" w:eastAsia="仿宋"/>
          <w:b w:val="0"/>
          <w:bCs w:val="0"/>
          <w:sz w:val="32"/>
          <w:szCs w:val="32"/>
          <w:highlight w:val="none"/>
        </w:rPr>
        <w:t>分，合格加</w:t>
      </w:r>
      <w:r>
        <w:rPr>
          <w:rFonts w:hint="eastAsia" w:ascii="仿宋" w:hAnsi="仿宋" w:eastAsia="仿宋"/>
          <w:b w:val="0"/>
          <w:bCs w:val="0"/>
          <w:sz w:val="32"/>
          <w:szCs w:val="32"/>
          <w:highlight w:val="none"/>
          <w:lang w:val="en-US" w:eastAsia="zh-CN"/>
        </w:rPr>
        <w:t>2</w:t>
      </w:r>
      <w:r>
        <w:rPr>
          <w:rFonts w:hint="eastAsia" w:ascii="仿宋" w:hAnsi="仿宋" w:eastAsia="仿宋"/>
          <w:b w:val="0"/>
          <w:bCs w:val="0"/>
          <w:sz w:val="32"/>
          <w:szCs w:val="32"/>
          <w:highlight w:val="none"/>
        </w:rPr>
        <w:t>分，</w:t>
      </w:r>
      <w:r>
        <w:rPr>
          <w:rFonts w:hint="eastAsia" w:ascii="仿宋" w:hAnsi="仿宋" w:eastAsia="仿宋"/>
          <w:b w:val="0"/>
          <w:bCs w:val="0"/>
          <w:sz w:val="32"/>
          <w:szCs w:val="32"/>
          <w:highlight w:val="none"/>
          <w:lang w:val="en-US" w:eastAsia="zh-CN"/>
        </w:rPr>
        <w:t>首次</w:t>
      </w:r>
      <w:r>
        <w:rPr>
          <w:rFonts w:hint="eastAsia" w:ascii="仿宋" w:hAnsi="仿宋" w:eastAsia="仿宋"/>
          <w:b w:val="0"/>
          <w:bCs w:val="0"/>
          <w:sz w:val="32"/>
          <w:szCs w:val="32"/>
          <w:highlight w:val="none"/>
        </w:rPr>
        <w:t>参加雅思考试获6.5分及以上成绩、托福考试获95分及以上成绩加</w:t>
      </w:r>
      <w:r>
        <w:rPr>
          <w:rFonts w:hint="eastAsia" w:ascii="仿宋" w:hAnsi="仿宋" w:eastAsia="仿宋"/>
          <w:b w:val="0"/>
          <w:bCs w:val="0"/>
          <w:sz w:val="32"/>
          <w:szCs w:val="32"/>
          <w:highlight w:val="none"/>
          <w:lang w:val="en-US" w:eastAsia="zh-CN"/>
        </w:rPr>
        <w:t>8</w:t>
      </w:r>
      <w:r>
        <w:rPr>
          <w:rFonts w:hint="eastAsia" w:ascii="仿宋" w:hAnsi="仿宋" w:eastAsia="仿宋"/>
          <w:b w:val="0"/>
          <w:bCs w:val="0"/>
          <w:sz w:val="32"/>
          <w:szCs w:val="32"/>
          <w:highlight w:val="none"/>
        </w:rPr>
        <w:t>分。以上项目加分就高原则,</w:t>
      </w:r>
      <w:r>
        <w:rPr>
          <w:rFonts w:hint="eastAsia" w:ascii="仿宋" w:hAnsi="仿宋" w:eastAsia="仿宋"/>
          <w:b w:val="0"/>
          <w:bCs w:val="0"/>
          <w:sz w:val="32"/>
          <w:szCs w:val="32"/>
          <w:highlight w:val="none"/>
          <w:lang w:val="en-US" w:eastAsia="zh-CN"/>
        </w:rPr>
        <w:t>同一类型多次考试通过</w:t>
      </w:r>
      <w:r>
        <w:rPr>
          <w:rFonts w:hint="eastAsia" w:ascii="仿宋" w:hAnsi="仿宋" w:eastAsia="仿宋"/>
          <w:b w:val="0"/>
          <w:bCs w:val="0"/>
          <w:sz w:val="32"/>
          <w:szCs w:val="32"/>
          <w:highlight w:val="none"/>
        </w:rPr>
        <w:t>不重复加分。</w:t>
      </w:r>
      <w:r>
        <w:rPr>
          <w:rFonts w:hint="eastAsia" w:ascii="仿宋" w:hAnsi="仿宋" w:eastAsia="仿宋" w:cs="仿宋"/>
          <w:b w:val="0"/>
          <w:bCs w:val="0"/>
          <w:color w:val="000000"/>
          <w:sz w:val="32"/>
          <w:szCs w:val="32"/>
          <w:highlight w:val="none"/>
        </w:rPr>
        <w:t>）</w:t>
      </w:r>
    </w:p>
    <w:p w14:paraId="40F2C236">
      <w:pPr>
        <w:keepNext w:val="0"/>
        <w:keepLines w:val="0"/>
        <w:pageBreakBefore w:val="0"/>
        <w:widowControl w:val="0"/>
        <w:kinsoku/>
        <w:wordWrap/>
        <w:overflowPunct/>
        <w:topLinePunct w:val="0"/>
        <w:autoSpaceDE/>
        <w:autoSpaceDN/>
        <w:bidi w:val="0"/>
        <w:adjustRightInd/>
        <w:snapToGrid/>
        <w:spacing w:before="0" w:after="120" w:line="560" w:lineRule="exact"/>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3.积极参与各级各类职业生涯规划大赛、简历大赛等活动及获奖情况；</w:t>
      </w:r>
    </w:p>
    <w:tbl>
      <w:tblPr>
        <w:tblStyle w:val="1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04"/>
        <w:gridCol w:w="1994"/>
        <w:gridCol w:w="2136"/>
        <w:gridCol w:w="2095"/>
      </w:tblGrid>
      <w:tr w14:paraId="26D29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434" w:type="pct"/>
            <w:vAlign w:val="center"/>
          </w:tcPr>
          <w:p w14:paraId="355ACF33">
            <w:pPr>
              <w:keepNext w:val="0"/>
              <w:keepLines w:val="0"/>
              <w:pageBreakBefore w:val="0"/>
              <w:widowControl w:val="0"/>
              <w:kinsoku/>
              <w:overflowPunct/>
              <w:topLinePunct w:val="0"/>
              <w:bidi w:val="0"/>
              <w:adjustRightInd w:val="0"/>
              <w:snapToGrid w:val="0"/>
              <w:spacing w:after="120" w:line="560" w:lineRule="exact"/>
              <w:ind w:firstLine="420"/>
              <w:jc w:val="center"/>
              <w:textAlignment w:val="auto"/>
              <w:rPr>
                <w:rFonts w:ascii="仿宋" w:hAnsi="仿宋" w:eastAsia="仿宋"/>
                <w:b w:val="0"/>
                <w:bCs w:val="0"/>
                <w:sz w:val="32"/>
                <w:szCs w:val="32"/>
                <w:highlight w:val="none"/>
              </w:rPr>
            </w:pPr>
            <w:r>
              <w:rPr>
                <w:rFonts w:ascii="仿宋" w:hAnsi="仿宋" w:eastAsia="仿宋"/>
                <w:b w:val="0"/>
                <w:bCs w:val="0"/>
                <w:position w:val="-28"/>
                <w:sz w:val="32"/>
                <w:szCs w:val="32"/>
                <w:highlight w:val="none"/>
              </w:rPr>
              <w:drawing>
                <wp:anchor distT="0" distB="0" distL="114300" distR="114300" simplePos="0" relativeHeight="251668480" behindDoc="1" locked="0" layoutInCell="1" allowOverlap="1">
                  <wp:simplePos x="0" y="0"/>
                  <wp:positionH relativeFrom="column">
                    <wp:posOffset>3810</wp:posOffset>
                  </wp:positionH>
                  <wp:positionV relativeFrom="paragraph">
                    <wp:posOffset>-635</wp:posOffset>
                  </wp:positionV>
                  <wp:extent cx="1551305" cy="640715"/>
                  <wp:effectExtent l="0" t="0" r="10795" b="6985"/>
                  <wp:wrapNone/>
                  <wp:docPr id="2" name="IM 14"/>
                  <wp:cNvGraphicFramePr/>
                  <a:graphic xmlns:a="http://schemas.openxmlformats.org/drawingml/2006/main">
                    <a:graphicData uri="http://schemas.openxmlformats.org/drawingml/2006/picture">
                      <pic:pic xmlns:pic="http://schemas.openxmlformats.org/drawingml/2006/picture">
                        <pic:nvPicPr>
                          <pic:cNvPr id="2" name="IM 14"/>
                          <pic:cNvPicPr/>
                        </pic:nvPicPr>
                        <pic:blipFill>
                          <a:blip r:embed="rId5"/>
                          <a:stretch>
                            <a:fillRect/>
                          </a:stretch>
                        </pic:blipFill>
                        <pic:spPr>
                          <a:xfrm>
                            <a:off x="0" y="0"/>
                            <a:ext cx="1551305" cy="640715"/>
                          </a:xfrm>
                          <a:prstGeom prst="rect">
                            <a:avLst/>
                          </a:prstGeom>
                          <a:noFill/>
                          <a:ln>
                            <a:noFill/>
                          </a:ln>
                        </pic:spPr>
                      </pic:pic>
                    </a:graphicData>
                  </a:graphic>
                </wp:anchor>
              </w:drawing>
            </w:r>
          </w:p>
        </w:tc>
        <w:tc>
          <w:tcPr>
            <w:tcW w:w="1142" w:type="pct"/>
            <w:vAlign w:val="center"/>
          </w:tcPr>
          <w:p w14:paraId="7D4ADCC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第一名</w:t>
            </w:r>
          </w:p>
        </w:tc>
        <w:tc>
          <w:tcPr>
            <w:tcW w:w="1223" w:type="pct"/>
            <w:vAlign w:val="center"/>
          </w:tcPr>
          <w:p w14:paraId="6B8F8E92">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第二名</w:t>
            </w:r>
          </w:p>
        </w:tc>
        <w:tc>
          <w:tcPr>
            <w:tcW w:w="1199" w:type="pct"/>
            <w:vAlign w:val="center"/>
          </w:tcPr>
          <w:p w14:paraId="17ADB95B">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第三名</w:t>
            </w:r>
          </w:p>
        </w:tc>
      </w:tr>
      <w:tr w14:paraId="79F5F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745F7D3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25"/>
                <w:sz w:val="32"/>
                <w:szCs w:val="32"/>
                <w:highlight w:val="none"/>
              </w:rPr>
              <w:t>国家级</w:t>
            </w:r>
          </w:p>
        </w:tc>
        <w:tc>
          <w:tcPr>
            <w:tcW w:w="1142" w:type="pct"/>
            <w:vAlign w:val="center"/>
          </w:tcPr>
          <w:p w14:paraId="51E73C3D">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1</w:t>
            </w:r>
            <w:r>
              <w:rPr>
                <w:rFonts w:hint="eastAsia" w:ascii="仿宋" w:hAnsi="仿宋" w:eastAsia="仿宋"/>
                <w:b w:val="0"/>
                <w:bCs w:val="0"/>
                <w:sz w:val="32"/>
                <w:szCs w:val="32"/>
                <w:highlight w:val="none"/>
              </w:rPr>
              <w:t>5</w:t>
            </w:r>
            <w:r>
              <w:rPr>
                <w:rFonts w:ascii="仿宋" w:hAnsi="仿宋" w:eastAsia="仿宋"/>
                <w:b w:val="0"/>
                <w:bCs w:val="0"/>
                <w:sz w:val="32"/>
                <w:szCs w:val="32"/>
                <w:highlight w:val="none"/>
              </w:rPr>
              <w:t>.0</w:t>
            </w:r>
          </w:p>
        </w:tc>
        <w:tc>
          <w:tcPr>
            <w:tcW w:w="1223" w:type="pct"/>
            <w:vAlign w:val="center"/>
          </w:tcPr>
          <w:p w14:paraId="415637AC">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14.0</w:t>
            </w:r>
          </w:p>
        </w:tc>
        <w:tc>
          <w:tcPr>
            <w:tcW w:w="1199" w:type="pct"/>
            <w:vAlign w:val="center"/>
          </w:tcPr>
          <w:p w14:paraId="7FB732CC">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13.0</w:t>
            </w:r>
          </w:p>
        </w:tc>
      </w:tr>
      <w:tr w14:paraId="0A39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5A68B2A7">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11"/>
                <w:sz w:val="32"/>
                <w:szCs w:val="32"/>
                <w:highlight w:val="none"/>
              </w:rPr>
              <w:t>省部级</w:t>
            </w:r>
          </w:p>
        </w:tc>
        <w:tc>
          <w:tcPr>
            <w:tcW w:w="1142" w:type="pct"/>
            <w:vAlign w:val="center"/>
          </w:tcPr>
          <w:p w14:paraId="6C0C021D">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11.5</w:t>
            </w:r>
          </w:p>
        </w:tc>
        <w:tc>
          <w:tcPr>
            <w:tcW w:w="1223" w:type="pct"/>
            <w:vAlign w:val="center"/>
          </w:tcPr>
          <w:p w14:paraId="16726C4E">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10.5</w:t>
            </w:r>
          </w:p>
        </w:tc>
        <w:tc>
          <w:tcPr>
            <w:tcW w:w="1199" w:type="pct"/>
            <w:vAlign w:val="center"/>
          </w:tcPr>
          <w:p w14:paraId="332FA64F">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9.5</w:t>
            </w:r>
          </w:p>
        </w:tc>
      </w:tr>
      <w:tr w14:paraId="652DE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0401BBE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9"/>
                <w:sz w:val="32"/>
                <w:szCs w:val="32"/>
                <w:highlight w:val="none"/>
              </w:rPr>
              <w:t>校级</w:t>
            </w:r>
          </w:p>
        </w:tc>
        <w:tc>
          <w:tcPr>
            <w:tcW w:w="1142" w:type="pct"/>
            <w:vAlign w:val="center"/>
          </w:tcPr>
          <w:p w14:paraId="26E3BB4F">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8.0</w:t>
            </w:r>
          </w:p>
        </w:tc>
        <w:tc>
          <w:tcPr>
            <w:tcW w:w="1223" w:type="pct"/>
            <w:vAlign w:val="center"/>
          </w:tcPr>
          <w:p w14:paraId="0E03C8C3">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7.0</w:t>
            </w:r>
          </w:p>
        </w:tc>
        <w:tc>
          <w:tcPr>
            <w:tcW w:w="1199" w:type="pct"/>
            <w:vAlign w:val="center"/>
          </w:tcPr>
          <w:p w14:paraId="310CB886">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6.0</w:t>
            </w:r>
          </w:p>
        </w:tc>
      </w:tr>
      <w:tr w14:paraId="030C0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357C7198">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18"/>
                <w:sz w:val="32"/>
                <w:szCs w:val="32"/>
                <w:highlight w:val="none"/>
              </w:rPr>
              <w:t>院级</w:t>
            </w:r>
          </w:p>
        </w:tc>
        <w:tc>
          <w:tcPr>
            <w:tcW w:w="1142" w:type="pct"/>
            <w:vAlign w:val="center"/>
          </w:tcPr>
          <w:p w14:paraId="1D78EDD1">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4.5</w:t>
            </w:r>
          </w:p>
        </w:tc>
        <w:tc>
          <w:tcPr>
            <w:tcW w:w="1223" w:type="pct"/>
            <w:vAlign w:val="center"/>
          </w:tcPr>
          <w:p w14:paraId="2D198593">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3.5</w:t>
            </w:r>
          </w:p>
        </w:tc>
        <w:tc>
          <w:tcPr>
            <w:tcW w:w="1199" w:type="pct"/>
            <w:vAlign w:val="center"/>
          </w:tcPr>
          <w:p w14:paraId="17AB5A85">
            <w:pPr>
              <w:keepNext w:val="0"/>
              <w:keepLines w:val="0"/>
              <w:pageBreakBefore w:val="0"/>
              <w:widowControl w:val="0"/>
              <w:kinsoku/>
              <w:overflowPunct/>
              <w:topLinePunct w:val="0"/>
              <w:bidi w:val="0"/>
              <w:spacing w:after="120" w:line="560" w:lineRule="exact"/>
              <w:jc w:val="center"/>
              <w:textAlignment w:val="auto"/>
              <w:rPr>
                <w:rFonts w:ascii="仿宋" w:hAnsi="仿宋" w:eastAsia="仿宋" w:cs="宋体"/>
                <w:b w:val="0"/>
                <w:bCs w:val="0"/>
                <w:sz w:val="32"/>
                <w:szCs w:val="32"/>
                <w:highlight w:val="none"/>
              </w:rPr>
            </w:pPr>
            <w:r>
              <w:rPr>
                <w:rFonts w:hint="eastAsia" w:ascii="仿宋" w:hAnsi="仿宋" w:eastAsia="仿宋"/>
                <w:b w:val="0"/>
                <w:bCs w:val="0"/>
                <w:sz w:val="32"/>
                <w:szCs w:val="32"/>
                <w:highlight w:val="none"/>
                <w:lang w:val="en-US" w:eastAsia="zh-CN"/>
              </w:rPr>
              <w:t>2</w:t>
            </w:r>
            <w:r>
              <w:rPr>
                <w:rFonts w:ascii="仿宋" w:hAnsi="仿宋" w:eastAsia="仿宋"/>
                <w:b w:val="0"/>
                <w:bCs w:val="0"/>
                <w:sz w:val="32"/>
                <w:szCs w:val="32"/>
                <w:highlight w:val="none"/>
              </w:rPr>
              <w:t>.</w:t>
            </w:r>
            <w:r>
              <w:rPr>
                <w:rFonts w:hint="eastAsia" w:ascii="仿宋" w:hAnsi="仿宋" w:eastAsia="仿宋"/>
                <w:b w:val="0"/>
                <w:bCs w:val="0"/>
                <w:sz w:val="32"/>
                <w:szCs w:val="32"/>
                <w:highlight w:val="none"/>
                <w:lang w:val="en-US" w:eastAsia="zh-CN"/>
              </w:rPr>
              <w:t>5</w:t>
            </w:r>
          </w:p>
        </w:tc>
      </w:tr>
    </w:tbl>
    <w:p w14:paraId="3913FB31">
      <w:pPr>
        <w:pStyle w:val="3"/>
        <w:keepNext w:val="0"/>
        <w:keepLines w:val="0"/>
        <w:pageBreakBefore w:val="0"/>
        <w:widowControl w:val="0"/>
        <w:kinsoku/>
        <w:overflowPunct/>
        <w:topLinePunct w:val="0"/>
        <w:bidi w:val="0"/>
        <w:spacing w:after="120" w:line="560" w:lineRule="exact"/>
        <w:ind w:left="0" w:leftChars="0" w:firstLine="640" w:firstLineChars="200"/>
        <w:textAlignment w:val="auto"/>
        <w:rPr>
          <w:rFonts w:hint="eastAsia" w:ascii="仿宋" w:hAnsi="仿宋" w:eastAsia="仿宋"/>
          <w:b w:val="0"/>
          <w:bCs w:val="0"/>
          <w:color w:val="000000"/>
          <w:sz w:val="32"/>
          <w:szCs w:val="32"/>
          <w:highlight w:val="none"/>
        </w:rPr>
      </w:pPr>
      <w:r>
        <w:rPr>
          <w:rFonts w:hint="eastAsia" w:ascii="仿宋" w:hAnsi="仿宋" w:eastAsia="仿宋"/>
          <w:b w:val="0"/>
          <w:bCs w:val="0"/>
          <w:color w:val="000000"/>
          <w:sz w:val="32"/>
          <w:szCs w:val="32"/>
          <w:highlight w:val="none"/>
        </w:rPr>
        <w:t>参加比赛但未获奖者加</w:t>
      </w:r>
      <w:r>
        <w:rPr>
          <w:rFonts w:hint="eastAsia" w:ascii="仿宋" w:hAnsi="仿宋" w:eastAsia="仿宋"/>
          <w:b w:val="0"/>
          <w:bCs w:val="0"/>
          <w:color w:val="000000"/>
          <w:sz w:val="32"/>
          <w:szCs w:val="32"/>
          <w:highlight w:val="none"/>
          <w:lang w:val="en-US" w:eastAsia="zh-CN"/>
        </w:rPr>
        <w:t>1</w:t>
      </w:r>
      <w:r>
        <w:rPr>
          <w:rFonts w:hint="eastAsia" w:ascii="仿宋" w:hAnsi="仿宋" w:eastAsia="仿宋"/>
          <w:b w:val="0"/>
          <w:bCs w:val="0"/>
          <w:color w:val="000000"/>
          <w:sz w:val="32"/>
          <w:szCs w:val="32"/>
          <w:highlight w:val="none"/>
        </w:rPr>
        <w:t>分。</w:t>
      </w:r>
    </w:p>
    <w:p w14:paraId="619717F2">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4.考取国家承认的或与所学专业能力高度相关的各类能力等级或职业资格证书；（</w:t>
      </w:r>
      <w:r>
        <w:rPr>
          <w:rFonts w:hint="eastAsia" w:ascii="仿宋" w:hAnsi="仿宋" w:eastAsia="仿宋" w:cs="仿宋"/>
          <w:b w:val="0"/>
          <w:bCs w:val="0"/>
          <w:color w:val="000000"/>
          <w:sz w:val="32"/>
          <w:szCs w:val="32"/>
          <w:highlight w:val="none"/>
          <w:lang w:val="en-US" w:eastAsia="zh-CN"/>
        </w:rPr>
        <w:t>如：</w:t>
      </w:r>
      <w:r>
        <w:rPr>
          <w:rFonts w:hint="eastAsia" w:ascii="仿宋" w:hAnsi="仿宋" w:eastAsia="仿宋"/>
          <w:b w:val="0"/>
          <w:bCs w:val="0"/>
          <w:sz w:val="32"/>
          <w:szCs w:val="32"/>
          <w:highlight w:val="none"/>
        </w:rPr>
        <w:t>全国计算机等级考试三级及三级以上、普通话二甲及以上证书、通过ACCA考试等</w:t>
      </w:r>
      <w:r>
        <w:rPr>
          <w:rFonts w:hint="eastAsia" w:ascii="仿宋" w:hAnsi="仿宋" w:eastAsia="仿宋"/>
          <w:b w:val="0"/>
          <w:bCs w:val="0"/>
          <w:sz w:val="32"/>
          <w:szCs w:val="32"/>
          <w:highlight w:val="none"/>
          <w:lang w:val="en-US" w:eastAsia="zh-CN"/>
        </w:rPr>
        <w:t>2</w:t>
      </w:r>
      <w:r>
        <w:rPr>
          <w:rFonts w:hint="eastAsia" w:ascii="仿宋" w:hAnsi="仿宋" w:eastAsia="仿宋"/>
          <w:b w:val="0"/>
          <w:bCs w:val="0"/>
          <w:sz w:val="32"/>
          <w:szCs w:val="32"/>
          <w:highlight w:val="none"/>
        </w:rPr>
        <w:t>分/项（门）</w:t>
      </w:r>
      <w:r>
        <w:rPr>
          <w:rFonts w:hint="eastAsia" w:ascii="仿宋" w:hAnsi="仿宋" w:eastAsia="仿宋"/>
          <w:b w:val="0"/>
          <w:bCs w:val="0"/>
          <w:sz w:val="32"/>
          <w:szCs w:val="32"/>
          <w:highlight w:val="none"/>
          <w:lang w:val="en-US" w:eastAsia="zh-CN"/>
        </w:rPr>
        <w:t>等</w:t>
      </w:r>
      <w:r>
        <w:rPr>
          <w:rFonts w:hint="eastAsia" w:ascii="仿宋" w:hAnsi="仿宋" w:eastAsia="仿宋" w:cs="仿宋"/>
          <w:b w:val="0"/>
          <w:bCs w:val="0"/>
          <w:color w:val="000000"/>
          <w:sz w:val="32"/>
          <w:szCs w:val="32"/>
          <w:highlight w:val="none"/>
        </w:rPr>
        <w:t>）。</w:t>
      </w:r>
    </w:p>
    <w:p w14:paraId="4CCA008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（三）国际交流与跨文化实践（5分）</w:t>
      </w:r>
    </w:p>
    <w:p w14:paraId="02AF8E4C">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1.参与校级及以上海外交换项目、假期学校或学术访问、其他国际交流活动，完成学分认定或获得结业证书；（</w:t>
      </w:r>
      <w:r>
        <w:rPr>
          <w:rFonts w:hint="eastAsia" w:ascii="仿宋" w:hAnsi="仿宋" w:eastAsia="仿宋" w:cs="仿宋"/>
          <w:b w:val="0"/>
          <w:bCs w:val="0"/>
          <w:color w:val="000000"/>
          <w:sz w:val="32"/>
          <w:szCs w:val="32"/>
          <w:highlight w:val="none"/>
          <w:lang w:val="en-US" w:eastAsia="zh-CN"/>
        </w:rPr>
        <w:t>5</w:t>
      </w:r>
      <w:r>
        <w:rPr>
          <w:rFonts w:hint="eastAsia" w:ascii="仿宋" w:hAnsi="仿宋" w:eastAsia="仿宋" w:cs="仿宋"/>
          <w:b w:val="0"/>
          <w:bCs w:val="0"/>
          <w:color w:val="000000"/>
          <w:sz w:val="32"/>
          <w:szCs w:val="32"/>
          <w:highlight w:val="none"/>
        </w:rPr>
        <w:t>分/次）</w:t>
      </w:r>
    </w:p>
    <w:p w14:paraId="78B41B5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default"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参与</w:t>
      </w:r>
      <w:r>
        <w:rPr>
          <w:rFonts w:hint="eastAsia" w:ascii="仿宋" w:hAnsi="仿宋" w:eastAsia="仿宋" w:cs="仿宋"/>
          <w:b w:val="0"/>
          <w:bCs w:val="0"/>
          <w:color w:val="000000"/>
          <w:sz w:val="32"/>
          <w:szCs w:val="32"/>
          <w:highlight w:val="none"/>
          <w:lang w:val="en-US" w:eastAsia="zh-CN"/>
        </w:rPr>
        <w:t>院级</w:t>
      </w:r>
      <w:r>
        <w:rPr>
          <w:rFonts w:hint="eastAsia" w:ascii="仿宋" w:hAnsi="仿宋" w:eastAsia="仿宋" w:cs="仿宋"/>
          <w:b w:val="0"/>
          <w:bCs w:val="0"/>
          <w:color w:val="000000"/>
          <w:sz w:val="32"/>
          <w:szCs w:val="32"/>
          <w:highlight w:val="none"/>
        </w:rPr>
        <w:t>海外交换项目、假期学校或学术访问、其他国际交流活动，完成学分认定或获得结业证书；（</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rPr>
        <w:t>分/次）</w:t>
      </w:r>
    </w:p>
    <w:p w14:paraId="37966B5E">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rPr>
        <w:t>.积极申请联合国粮农组织（FAO）、世界银行等国际组织远程实习或模拟实训，经学院认定的。（</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rPr>
        <w:t>分/次）</w:t>
      </w:r>
    </w:p>
    <w:p w14:paraId="09D82829">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val="0"/>
          <w:sz w:val="32"/>
          <w:szCs w:val="32"/>
          <w:highlight w:val="none"/>
        </w:rPr>
      </w:pPr>
      <w:r>
        <w:rPr>
          <w:rFonts w:hint="eastAsia" w:ascii="仿宋" w:hAnsi="仿宋" w:eastAsia="仿宋" w:cs="仿宋"/>
          <w:b w:val="0"/>
          <w:bCs w:val="0"/>
          <w:color w:val="000000"/>
          <w:sz w:val="32"/>
          <w:szCs w:val="32"/>
          <w:highlight w:val="none"/>
        </w:rPr>
        <w:t>（四）学术研究与创新成果（5分）</w:t>
      </w:r>
    </w:p>
    <w:p w14:paraId="73C9B1C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val="0"/>
          <w:sz w:val="32"/>
          <w:szCs w:val="32"/>
          <w:highlight w:val="none"/>
        </w:rPr>
      </w:pPr>
      <w:r>
        <w:rPr>
          <w:rFonts w:hint="eastAsia" w:ascii="仿宋" w:hAnsi="仿宋" w:eastAsia="仿宋" w:cs="仿宋"/>
          <w:b w:val="0"/>
          <w:bCs w:val="0"/>
          <w:color w:val="000000"/>
          <w:sz w:val="32"/>
          <w:szCs w:val="32"/>
          <w:highlight w:val="none"/>
        </w:rPr>
        <w:t>1.独立或共同公开发表和本专业相关的论文、著作；</w:t>
      </w:r>
      <w:r>
        <w:rPr>
          <w:rFonts w:hint="eastAsia" w:ascii="仿宋" w:hAnsi="仿宋" w:eastAsia="仿宋"/>
          <w:b w:val="0"/>
          <w:bCs w:val="0"/>
          <w:sz w:val="32"/>
          <w:szCs w:val="32"/>
          <w:highlight w:val="none"/>
        </w:rPr>
        <w:t>在国家正式刊物上发表论文或译文；（按其刊物类别,C刊加5分，北大核心加3分，其他普刊加0.5分(指公开出版发行的，且有国内统一刊号)，其中第二作者按80%计算加分，第三作者以后按50%计算加分。）</w:t>
      </w:r>
    </w:p>
    <w:p w14:paraId="00E64074">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val="0"/>
          <w:sz w:val="32"/>
          <w:szCs w:val="32"/>
          <w:highlight w:val="none"/>
        </w:rPr>
      </w:pPr>
      <w:r>
        <w:rPr>
          <w:rFonts w:hint="eastAsia" w:ascii="仿宋" w:hAnsi="仿宋" w:eastAsia="仿宋" w:cs="仿宋"/>
          <w:b w:val="0"/>
          <w:bCs w:val="0"/>
          <w:color w:val="000000"/>
          <w:sz w:val="32"/>
          <w:szCs w:val="32"/>
          <w:highlight w:val="none"/>
        </w:rPr>
        <w:t>2.独立或共同获得授权发明专利、实用新型专利、外观设计专利或软件著作权；</w:t>
      </w:r>
      <w:r>
        <w:rPr>
          <w:rFonts w:hint="eastAsia" w:ascii="仿宋" w:hAnsi="仿宋" w:eastAsia="仿宋"/>
          <w:b w:val="0"/>
          <w:bCs w:val="0"/>
          <w:sz w:val="32"/>
          <w:szCs w:val="32"/>
          <w:highlight w:val="none"/>
        </w:rPr>
        <w:t>获得发明专利、实用新型专利、外观设计专利或软件著作权等（独立作者5分，第一作者加4</w:t>
      </w:r>
      <w:r>
        <w:rPr>
          <w:rFonts w:ascii="仿宋" w:hAnsi="仿宋" w:eastAsia="仿宋"/>
          <w:b w:val="0"/>
          <w:bCs w:val="0"/>
          <w:sz w:val="32"/>
          <w:szCs w:val="32"/>
          <w:highlight w:val="none"/>
        </w:rPr>
        <w:t>.5</w:t>
      </w:r>
      <w:r>
        <w:rPr>
          <w:rFonts w:hint="eastAsia" w:ascii="仿宋" w:hAnsi="仿宋" w:eastAsia="仿宋"/>
          <w:b w:val="0"/>
          <w:bCs w:val="0"/>
          <w:sz w:val="32"/>
          <w:szCs w:val="32"/>
          <w:highlight w:val="none"/>
        </w:rPr>
        <w:t>分，其中第二作者按</w:t>
      </w:r>
      <w:r>
        <w:rPr>
          <w:rFonts w:hint="eastAsia" w:ascii="仿宋" w:hAnsi="仿宋" w:eastAsia="仿宋"/>
          <w:b w:val="0"/>
          <w:bCs w:val="0"/>
          <w:sz w:val="32"/>
          <w:szCs w:val="32"/>
          <w:highlight w:val="none"/>
          <w:lang w:val="en-US" w:eastAsia="zh-CN"/>
        </w:rPr>
        <w:t>3.5</w:t>
      </w:r>
      <w:r>
        <w:rPr>
          <w:rFonts w:hint="eastAsia" w:ascii="仿宋" w:hAnsi="仿宋" w:eastAsia="仿宋"/>
          <w:b w:val="0"/>
          <w:bCs w:val="0"/>
          <w:sz w:val="32"/>
          <w:szCs w:val="32"/>
          <w:highlight w:val="none"/>
        </w:rPr>
        <w:t>分计算加分，第三作者以后按</w:t>
      </w:r>
      <w:r>
        <w:rPr>
          <w:rFonts w:ascii="仿宋" w:hAnsi="仿宋" w:eastAsia="仿宋"/>
          <w:b w:val="0"/>
          <w:bCs w:val="0"/>
          <w:sz w:val="32"/>
          <w:szCs w:val="32"/>
          <w:highlight w:val="none"/>
        </w:rPr>
        <w:t>2</w:t>
      </w:r>
      <w:r>
        <w:rPr>
          <w:rFonts w:hint="eastAsia" w:ascii="仿宋" w:hAnsi="仿宋" w:eastAsia="仿宋"/>
          <w:b w:val="0"/>
          <w:bCs w:val="0"/>
          <w:sz w:val="32"/>
          <w:szCs w:val="32"/>
          <w:highlight w:val="none"/>
          <w:lang w:val="en-US" w:eastAsia="zh-CN"/>
        </w:rPr>
        <w:t>.5</w:t>
      </w:r>
      <w:r>
        <w:rPr>
          <w:rFonts w:hint="eastAsia" w:ascii="仿宋" w:hAnsi="仿宋" w:eastAsia="仿宋"/>
          <w:b w:val="0"/>
          <w:bCs w:val="0"/>
          <w:sz w:val="32"/>
          <w:szCs w:val="32"/>
          <w:highlight w:val="none"/>
        </w:rPr>
        <w:t>分计算加分。）</w:t>
      </w:r>
    </w:p>
    <w:p w14:paraId="1940C139">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val="0"/>
          <w:sz w:val="32"/>
          <w:szCs w:val="32"/>
          <w:highlight w:val="none"/>
        </w:rPr>
      </w:pPr>
      <w:r>
        <w:rPr>
          <w:rFonts w:hint="eastAsia" w:ascii="仿宋" w:hAnsi="仿宋" w:eastAsia="仿宋" w:cs="仿宋"/>
          <w:b w:val="0"/>
          <w:bCs w:val="0"/>
          <w:color w:val="000000"/>
          <w:sz w:val="32"/>
          <w:szCs w:val="32"/>
          <w:highlight w:val="none"/>
        </w:rPr>
        <w:t>3.在各级各类学术会议上作报告或收录学术会议论文集。</w:t>
      </w:r>
    </w:p>
    <w:tbl>
      <w:tblPr>
        <w:tblStyle w:val="1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04"/>
        <w:gridCol w:w="1994"/>
        <w:gridCol w:w="2136"/>
        <w:gridCol w:w="2095"/>
      </w:tblGrid>
      <w:tr w14:paraId="4EB7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434" w:type="pct"/>
            <w:vAlign w:val="center"/>
          </w:tcPr>
          <w:p w14:paraId="664FAAF4">
            <w:pPr>
              <w:keepNext w:val="0"/>
              <w:keepLines w:val="0"/>
              <w:pageBreakBefore w:val="0"/>
              <w:widowControl w:val="0"/>
              <w:kinsoku/>
              <w:overflowPunct/>
              <w:topLinePunct w:val="0"/>
              <w:bidi w:val="0"/>
              <w:adjustRightInd w:val="0"/>
              <w:snapToGrid w:val="0"/>
              <w:spacing w:after="120" w:line="560" w:lineRule="exact"/>
              <w:ind w:firstLine="420"/>
              <w:jc w:val="center"/>
              <w:textAlignment w:val="auto"/>
              <w:rPr>
                <w:rFonts w:ascii="仿宋" w:hAnsi="仿宋" w:eastAsia="仿宋"/>
                <w:b w:val="0"/>
                <w:bCs w:val="0"/>
                <w:sz w:val="32"/>
                <w:szCs w:val="32"/>
                <w:highlight w:val="none"/>
              </w:rPr>
            </w:pPr>
            <w:r>
              <w:rPr>
                <w:rFonts w:ascii="仿宋" w:hAnsi="仿宋" w:eastAsia="仿宋"/>
                <w:b w:val="0"/>
                <w:bCs w:val="0"/>
                <w:position w:val="-28"/>
                <w:sz w:val="32"/>
                <w:szCs w:val="32"/>
                <w:highlight w:val="none"/>
              </w:rPr>
              <w:drawing>
                <wp:anchor distT="0" distB="0" distL="114300" distR="114300" simplePos="0" relativeHeight="251669504" behindDoc="1" locked="0" layoutInCell="1" allowOverlap="1">
                  <wp:simplePos x="0" y="0"/>
                  <wp:positionH relativeFrom="column">
                    <wp:posOffset>3810</wp:posOffset>
                  </wp:positionH>
                  <wp:positionV relativeFrom="paragraph">
                    <wp:posOffset>-635</wp:posOffset>
                  </wp:positionV>
                  <wp:extent cx="1551305" cy="608965"/>
                  <wp:effectExtent l="0" t="0" r="10795" b="635"/>
                  <wp:wrapNone/>
                  <wp:docPr id="11" name="IM 14"/>
                  <wp:cNvGraphicFramePr/>
                  <a:graphic xmlns:a="http://schemas.openxmlformats.org/drawingml/2006/main">
                    <a:graphicData uri="http://schemas.openxmlformats.org/drawingml/2006/picture">
                      <pic:pic xmlns:pic="http://schemas.openxmlformats.org/drawingml/2006/picture">
                        <pic:nvPicPr>
                          <pic:cNvPr id="11" name="IM 14"/>
                          <pic:cNvPicPr/>
                        </pic:nvPicPr>
                        <pic:blipFill>
                          <a:blip r:embed="rId5"/>
                          <a:stretch>
                            <a:fillRect/>
                          </a:stretch>
                        </pic:blipFill>
                        <pic:spPr>
                          <a:xfrm>
                            <a:off x="0" y="0"/>
                            <a:ext cx="1551305" cy="608965"/>
                          </a:xfrm>
                          <a:prstGeom prst="rect">
                            <a:avLst/>
                          </a:prstGeom>
                          <a:noFill/>
                          <a:ln>
                            <a:noFill/>
                          </a:ln>
                        </pic:spPr>
                      </pic:pic>
                    </a:graphicData>
                  </a:graphic>
                </wp:anchor>
              </w:drawing>
            </w:r>
          </w:p>
        </w:tc>
        <w:tc>
          <w:tcPr>
            <w:tcW w:w="1142" w:type="pct"/>
            <w:vAlign w:val="center"/>
          </w:tcPr>
          <w:p w14:paraId="056EFC47">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第一名</w:t>
            </w:r>
          </w:p>
        </w:tc>
        <w:tc>
          <w:tcPr>
            <w:tcW w:w="1223" w:type="pct"/>
            <w:vAlign w:val="center"/>
          </w:tcPr>
          <w:p w14:paraId="1C26F40D">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第二名</w:t>
            </w:r>
          </w:p>
        </w:tc>
        <w:tc>
          <w:tcPr>
            <w:tcW w:w="1199" w:type="pct"/>
            <w:vAlign w:val="center"/>
          </w:tcPr>
          <w:p w14:paraId="520585C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第三名</w:t>
            </w:r>
          </w:p>
        </w:tc>
      </w:tr>
      <w:tr w14:paraId="021F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2D2D557B">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25"/>
                <w:sz w:val="32"/>
                <w:szCs w:val="32"/>
                <w:highlight w:val="none"/>
              </w:rPr>
              <w:t>国家级</w:t>
            </w:r>
          </w:p>
        </w:tc>
        <w:tc>
          <w:tcPr>
            <w:tcW w:w="1142" w:type="pct"/>
            <w:vAlign w:val="center"/>
          </w:tcPr>
          <w:p w14:paraId="325862F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3"/>
                <w:sz w:val="32"/>
                <w:szCs w:val="32"/>
                <w:highlight w:val="none"/>
              </w:rPr>
              <w:t>5.0</w:t>
            </w:r>
          </w:p>
        </w:tc>
        <w:tc>
          <w:tcPr>
            <w:tcW w:w="1223" w:type="pct"/>
            <w:vAlign w:val="center"/>
          </w:tcPr>
          <w:p w14:paraId="204958D2">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z w:val="32"/>
                <w:szCs w:val="32"/>
                <w:highlight w:val="none"/>
              </w:rPr>
              <w:t>4.</w:t>
            </w:r>
            <w:r>
              <w:rPr>
                <w:rFonts w:hint="eastAsia" w:ascii="仿宋" w:hAnsi="仿宋" w:eastAsia="仿宋"/>
                <w:b w:val="0"/>
                <w:bCs w:val="0"/>
                <w:sz w:val="32"/>
                <w:szCs w:val="32"/>
                <w:highlight w:val="none"/>
              </w:rPr>
              <w:t>5</w:t>
            </w:r>
          </w:p>
        </w:tc>
        <w:tc>
          <w:tcPr>
            <w:tcW w:w="1199" w:type="pct"/>
            <w:vAlign w:val="center"/>
          </w:tcPr>
          <w:p w14:paraId="0E5B50C4">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5"/>
                <w:sz w:val="32"/>
                <w:szCs w:val="32"/>
                <w:highlight w:val="none"/>
              </w:rPr>
              <w:t>4</w:t>
            </w:r>
            <w:r>
              <w:rPr>
                <w:rFonts w:hint="eastAsia" w:ascii="仿宋" w:hAnsi="仿宋" w:eastAsia="仿宋"/>
                <w:b w:val="0"/>
                <w:bCs w:val="0"/>
                <w:spacing w:val="-5"/>
                <w:sz w:val="32"/>
                <w:szCs w:val="32"/>
                <w:highlight w:val="none"/>
              </w:rPr>
              <w:t>.0</w:t>
            </w:r>
          </w:p>
        </w:tc>
      </w:tr>
      <w:tr w14:paraId="74D4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0E364664">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11"/>
                <w:sz w:val="32"/>
                <w:szCs w:val="32"/>
                <w:highlight w:val="none"/>
              </w:rPr>
              <w:t>省部级</w:t>
            </w:r>
          </w:p>
        </w:tc>
        <w:tc>
          <w:tcPr>
            <w:tcW w:w="1142" w:type="pct"/>
            <w:vAlign w:val="center"/>
          </w:tcPr>
          <w:p w14:paraId="710A8D4B">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5"/>
                <w:sz w:val="32"/>
                <w:szCs w:val="32"/>
                <w:highlight w:val="none"/>
              </w:rPr>
              <w:t>4</w:t>
            </w:r>
            <w:r>
              <w:rPr>
                <w:rFonts w:hint="eastAsia" w:ascii="仿宋" w:hAnsi="仿宋" w:eastAsia="仿宋"/>
                <w:b w:val="0"/>
                <w:bCs w:val="0"/>
                <w:spacing w:val="-5"/>
                <w:sz w:val="32"/>
                <w:szCs w:val="32"/>
                <w:highlight w:val="none"/>
              </w:rPr>
              <w:t>.0</w:t>
            </w:r>
          </w:p>
        </w:tc>
        <w:tc>
          <w:tcPr>
            <w:tcW w:w="1223" w:type="pct"/>
            <w:vAlign w:val="center"/>
          </w:tcPr>
          <w:p w14:paraId="405EEBA3">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2"/>
                <w:sz w:val="32"/>
                <w:szCs w:val="32"/>
                <w:highlight w:val="none"/>
              </w:rPr>
              <w:t>3</w:t>
            </w:r>
            <w:r>
              <w:rPr>
                <w:rFonts w:hint="eastAsia" w:ascii="仿宋" w:hAnsi="仿宋" w:eastAsia="仿宋"/>
                <w:b w:val="0"/>
                <w:bCs w:val="0"/>
                <w:spacing w:val="-2"/>
                <w:sz w:val="32"/>
                <w:szCs w:val="32"/>
                <w:highlight w:val="none"/>
              </w:rPr>
              <w:t>.5</w:t>
            </w:r>
          </w:p>
        </w:tc>
        <w:tc>
          <w:tcPr>
            <w:tcW w:w="1199" w:type="pct"/>
            <w:vAlign w:val="center"/>
          </w:tcPr>
          <w:p w14:paraId="0E4FF6F3">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2"/>
                <w:sz w:val="32"/>
                <w:szCs w:val="32"/>
                <w:highlight w:val="none"/>
              </w:rPr>
              <w:t>3</w:t>
            </w:r>
            <w:r>
              <w:rPr>
                <w:rFonts w:hint="eastAsia" w:ascii="仿宋" w:hAnsi="仿宋" w:eastAsia="仿宋"/>
                <w:b w:val="0"/>
                <w:bCs w:val="0"/>
                <w:spacing w:val="-2"/>
                <w:sz w:val="32"/>
                <w:szCs w:val="32"/>
                <w:highlight w:val="none"/>
              </w:rPr>
              <w:t>.0</w:t>
            </w:r>
          </w:p>
        </w:tc>
      </w:tr>
      <w:tr w14:paraId="709B3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6EC658A4">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val="0"/>
                <w:sz w:val="32"/>
                <w:szCs w:val="32"/>
                <w:highlight w:val="none"/>
              </w:rPr>
            </w:pPr>
            <w:r>
              <w:rPr>
                <w:rFonts w:ascii="仿宋" w:hAnsi="仿宋" w:eastAsia="仿宋" w:cs="仿宋"/>
                <w:b w:val="0"/>
                <w:bCs w:val="0"/>
                <w:spacing w:val="-9"/>
                <w:sz w:val="32"/>
                <w:szCs w:val="32"/>
                <w:highlight w:val="none"/>
              </w:rPr>
              <w:t>校级</w:t>
            </w:r>
          </w:p>
        </w:tc>
        <w:tc>
          <w:tcPr>
            <w:tcW w:w="1142" w:type="pct"/>
            <w:vAlign w:val="center"/>
          </w:tcPr>
          <w:p w14:paraId="554AD55F">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2"/>
                <w:sz w:val="32"/>
                <w:szCs w:val="32"/>
                <w:highlight w:val="none"/>
              </w:rPr>
              <w:t>3</w:t>
            </w:r>
            <w:r>
              <w:rPr>
                <w:rFonts w:hint="eastAsia" w:ascii="仿宋" w:hAnsi="仿宋" w:eastAsia="仿宋"/>
                <w:b w:val="0"/>
                <w:bCs w:val="0"/>
                <w:spacing w:val="-2"/>
                <w:sz w:val="32"/>
                <w:szCs w:val="32"/>
                <w:highlight w:val="none"/>
              </w:rPr>
              <w:t>.0</w:t>
            </w:r>
          </w:p>
        </w:tc>
        <w:tc>
          <w:tcPr>
            <w:tcW w:w="1223" w:type="pct"/>
            <w:vAlign w:val="center"/>
          </w:tcPr>
          <w:p w14:paraId="03F5B842">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1"/>
                <w:sz w:val="32"/>
                <w:szCs w:val="32"/>
                <w:highlight w:val="none"/>
              </w:rPr>
              <w:t>2</w:t>
            </w:r>
            <w:r>
              <w:rPr>
                <w:rFonts w:hint="eastAsia" w:ascii="仿宋" w:hAnsi="仿宋" w:eastAsia="仿宋"/>
                <w:b w:val="0"/>
                <w:bCs w:val="0"/>
                <w:spacing w:val="-1"/>
                <w:sz w:val="32"/>
                <w:szCs w:val="32"/>
                <w:highlight w:val="none"/>
              </w:rPr>
              <w:t>.5</w:t>
            </w:r>
          </w:p>
        </w:tc>
        <w:tc>
          <w:tcPr>
            <w:tcW w:w="1199" w:type="pct"/>
            <w:vAlign w:val="center"/>
          </w:tcPr>
          <w:p w14:paraId="7712911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val="0"/>
                <w:sz w:val="32"/>
                <w:szCs w:val="32"/>
                <w:highlight w:val="none"/>
              </w:rPr>
            </w:pPr>
            <w:r>
              <w:rPr>
                <w:rFonts w:ascii="仿宋" w:hAnsi="仿宋" w:eastAsia="仿宋"/>
                <w:b w:val="0"/>
                <w:bCs w:val="0"/>
                <w:spacing w:val="-1"/>
                <w:sz w:val="32"/>
                <w:szCs w:val="32"/>
                <w:highlight w:val="none"/>
              </w:rPr>
              <w:t>2</w:t>
            </w:r>
            <w:r>
              <w:rPr>
                <w:rFonts w:hint="eastAsia" w:ascii="仿宋" w:hAnsi="仿宋" w:eastAsia="仿宋"/>
                <w:b w:val="0"/>
                <w:bCs w:val="0"/>
                <w:spacing w:val="-1"/>
                <w:sz w:val="32"/>
                <w:szCs w:val="32"/>
                <w:highlight w:val="none"/>
              </w:rPr>
              <w:t>.0</w:t>
            </w:r>
          </w:p>
        </w:tc>
      </w:tr>
    </w:tbl>
    <w:p w14:paraId="753986AF">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（五）经学院认定的其他加分项（上限10分）。</w:t>
      </w:r>
    </w:p>
    <w:p w14:paraId="73E76AEF">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1.其他学术成果（校级2分/次，院级1分/次）</w:t>
      </w:r>
    </w:p>
    <w:p w14:paraId="4782DA17">
      <w:pPr>
        <w:keepNext w:val="0"/>
        <w:keepLines w:val="0"/>
        <w:pageBreakBefore w:val="0"/>
        <w:widowControl w:val="0"/>
        <w:kinsoku/>
        <w:wordWrap w:val="0"/>
        <w:overflowPunct/>
        <w:topLinePunct w:val="0"/>
        <w:autoSpaceDE w:val="0"/>
        <w:autoSpaceDN w:val="0"/>
        <w:bidi w:val="0"/>
        <w:adjustRightInd/>
        <w:snapToGrid/>
        <w:spacing w:before="0" w:after="120" w:line="560" w:lineRule="exact"/>
        <w:ind w:firstLine="0" w:firstLineChars="0"/>
        <w:jc w:val="center"/>
        <w:textAlignment w:val="auto"/>
        <w:rPr>
          <w:rFonts w:hint="eastAsia" w:ascii="楷体" w:hAnsi="楷体" w:eastAsia="楷体" w:cs="楷体"/>
          <w:b w:val="0"/>
          <w:bCs w:val="0"/>
          <w:color w:val="000000"/>
          <w:kern w:val="2"/>
          <w:sz w:val="32"/>
          <w:szCs w:val="32"/>
          <w:highlight w:val="none"/>
        </w:rPr>
      </w:pPr>
      <w:r>
        <w:rPr>
          <w:rFonts w:hint="eastAsia" w:ascii="楷体" w:hAnsi="楷体" w:eastAsia="楷体" w:cs="楷体"/>
          <w:b w:val="0"/>
          <w:bCs w:val="0"/>
          <w:color w:val="000000"/>
          <w:kern w:val="2"/>
          <w:sz w:val="32"/>
          <w:szCs w:val="32"/>
          <w:highlight w:val="none"/>
        </w:rPr>
        <w:t>第三部分 体育素质能力测评标准</w:t>
      </w:r>
    </w:p>
    <w:p w14:paraId="3AD525D0">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一、体育素质能力测评模块突出大学生身体素质与健康，引导学生养成良好锻炼习惯和健康生活方式，锤炼坚强意志，培养合作精神，帮助学生在体育锻炼中享受乐趣、增强体质、健全人格、锤炼意志。</w:t>
      </w:r>
    </w:p>
    <w:p w14:paraId="271408CF">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体育素质能力测评内容主要包括学生体质健康基础、掌握体育技能、参加课外体育锻炼、体育竞赛和体育文化活动展演等方面的表现。体育素质能力测评采用百分制，测评成绩T包括学生体质健康基础得分T1和体育成果性评价得分T2两部分。该项总分不超过100分，累计得分超过100分的按100分计。</w:t>
      </w:r>
    </w:p>
    <w:p w14:paraId="7AEC2BE5">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三、学生体质健康基础得分占比为60分，以学年内的国家学生体质健康标准测试成绩（以下简称“体测成绩”）计算。学生体质健康基础成绩＝体测成绩x60％。</w:t>
      </w:r>
    </w:p>
    <w:p w14:paraId="2C71730D">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四、体育成果性评价总分原则上为40分，累计得分超过40分的以40分计。测评内容主要包括日常体育锻炼、竞技体育表现、文化活动展演等部分。由各学院测评工作组依据学院测评细则对学生相关表现进行综合评价赋分。</w:t>
      </w:r>
    </w:p>
    <w:p w14:paraId="0748912C">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（一）日常体育锻炼（25分）</w:t>
      </w:r>
    </w:p>
    <w:p w14:paraId="62B3E4F6">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1.学生课外APP中长跑锻炼成绩占比，以学年内的学生课外APP中长跑锻炼完成情况计算；（</w:t>
      </w:r>
      <w:r>
        <w:rPr>
          <w:rFonts w:hint="eastAsia" w:ascii="仿宋" w:hAnsi="仿宋" w:eastAsia="仿宋"/>
          <w:b w:val="0"/>
          <w:bCs/>
          <w:sz w:val="32"/>
          <w:szCs w:val="32"/>
          <w:highlight w:val="none"/>
        </w:rPr>
        <w:t>完成本学年乐跑任务加10分；未完成规定任务</w:t>
      </w:r>
      <w:r>
        <w:rPr>
          <w:rFonts w:hint="eastAsia" w:ascii="仿宋" w:hAnsi="仿宋" w:eastAsia="仿宋"/>
          <w:b w:val="0"/>
          <w:bCs/>
          <w:color w:val="000000"/>
          <w:sz w:val="32"/>
          <w:szCs w:val="32"/>
          <w:highlight w:val="none"/>
        </w:rPr>
        <w:t>根据完成次数按比例加分（完成率</w:t>
      </w:r>
      <w:r>
        <w:rPr>
          <w:rFonts w:hint="eastAsia" w:ascii="仿宋" w:hAnsi="仿宋" w:eastAsia="仿宋"/>
          <w:b w:val="0"/>
          <w:bCs/>
          <w:color w:val="000000"/>
          <w:sz w:val="32"/>
          <w:szCs w:val="32"/>
          <w:highlight w:val="none"/>
          <w:lang w:val="en-US" w:eastAsia="zh-CN"/>
        </w:rPr>
        <w:t>x</w:t>
      </w:r>
      <w:r>
        <w:rPr>
          <w:rFonts w:hint="eastAsia" w:ascii="仿宋" w:hAnsi="仿宋" w:eastAsia="仿宋"/>
          <w:b w:val="0"/>
          <w:bCs/>
          <w:color w:val="000000"/>
          <w:sz w:val="32"/>
          <w:szCs w:val="32"/>
          <w:highlight w:val="none"/>
        </w:rPr>
        <w:t>10折算）；申请免跑的学生按照乐跑总分45%加分，即4.5分。</w:t>
      </w:r>
      <w:r>
        <w:rPr>
          <w:rFonts w:hint="eastAsia" w:ascii="仿宋" w:hAnsi="仿宋" w:eastAsia="仿宋" w:cs="仿宋"/>
          <w:b w:val="0"/>
          <w:bCs/>
          <w:color w:val="000000"/>
          <w:sz w:val="32"/>
          <w:szCs w:val="32"/>
          <w:highlight w:val="none"/>
        </w:rPr>
        <w:t>）</w:t>
      </w:r>
    </w:p>
    <w:p w14:paraId="6A306A27">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hint="default"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2.自主体育锻炼打卡（超额完成一学年乐跑任务）（0.2分/次，上限5分，即一学年超额完成25次）</w:t>
      </w:r>
    </w:p>
    <w:p w14:paraId="08A5619D">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lang w:val="en-US" w:eastAsia="zh-CN"/>
        </w:rPr>
        <w:t>3</w:t>
      </w:r>
      <w:r>
        <w:rPr>
          <w:rFonts w:hint="eastAsia" w:ascii="仿宋" w:hAnsi="仿宋" w:eastAsia="仿宋" w:cs="仿宋"/>
          <w:b w:val="0"/>
          <w:bCs/>
          <w:color w:val="000000"/>
          <w:sz w:val="32"/>
          <w:szCs w:val="32"/>
          <w:highlight w:val="none"/>
        </w:rPr>
        <w:t>.加入校、院级各类体育运动队并坚持日常训练；</w:t>
      </w:r>
      <w:r>
        <w:rPr>
          <w:rFonts w:hint="eastAsia" w:ascii="仿宋" w:hAnsi="仿宋" w:eastAsia="仿宋"/>
          <w:b w:val="0"/>
          <w:bCs/>
          <w:color w:val="000000"/>
          <w:sz w:val="32"/>
          <w:szCs w:val="32"/>
          <w:highlight w:val="none"/>
        </w:rPr>
        <w:t>担任体育类校、院队（如田径队、篮球队、羽毛球队、乒乓球队、足球队等）负责人得</w:t>
      </w:r>
      <w:r>
        <w:rPr>
          <w:rFonts w:hint="eastAsia" w:ascii="仿宋" w:hAnsi="仿宋" w:eastAsia="仿宋"/>
          <w:b w:val="0"/>
          <w:bCs/>
          <w:color w:val="000000"/>
          <w:sz w:val="32"/>
          <w:szCs w:val="32"/>
          <w:highlight w:val="none"/>
          <w:lang w:val="en-US" w:eastAsia="zh-CN"/>
        </w:rPr>
        <w:t>4</w:t>
      </w:r>
      <w:r>
        <w:rPr>
          <w:rFonts w:hint="eastAsia" w:ascii="仿宋" w:hAnsi="仿宋" w:eastAsia="仿宋"/>
          <w:b w:val="0"/>
          <w:bCs/>
          <w:color w:val="000000"/>
          <w:sz w:val="32"/>
          <w:szCs w:val="32"/>
          <w:highlight w:val="none"/>
        </w:rPr>
        <w:t>分，队员加</w:t>
      </w:r>
      <w:r>
        <w:rPr>
          <w:rFonts w:hint="eastAsia" w:ascii="仿宋" w:hAnsi="仿宋" w:eastAsia="仿宋"/>
          <w:b w:val="0"/>
          <w:bCs/>
          <w:color w:val="000000"/>
          <w:sz w:val="32"/>
          <w:szCs w:val="32"/>
          <w:highlight w:val="none"/>
          <w:lang w:val="en-US" w:eastAsia="zh-CN"/>
        </w:rPr>
        <w:t>2</w:t>
      </w:r>
      <w:r>
        <w:rPr>
          <w:rFonts w:hint="eastAsia" w:ascii="仿宋" w:hAnsi="仿宋" w:eastAsia="仿宋"/>
          <w:b w:val="0"/>
          <w:bCs/>
          <w:color w:val="000000"/>
          <w:sz w:val="32"/>
          <w:szCs w:val="32"/>
          <w:highlight w:val="none"/>
        </w:rPr>
        <w:t>分；（同类别队伍不加分）</w:t>
      </w:r>
    </w:p>
    <w:p w14:paraId="2B1CC586">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hint="eastAsia" w:ascii="仿宋" w:hAnsi="仿宋" w:eastAsia="仿宋"/>
          <w:b w:val="0"/>
          <w:bCs/>
          <w:color w:val="000000"/>
          <w:sz w:val="32"/>
          <w:szCs w:val="32"/>
          <w:highlight w:val="none"/>
        </w:rPr>
      </w:pPr>
      <w:r>
        <w:rPr>
          <w:rFonts w:hint="eastAsia" w:ascii="仿宋" w:hAnsi="仿宋" w:eastAsia="仿宋"/>
          <w:b w:val="0"/>
          <w:bCs/>
          <w:color w:val="000000"/>
          <w:sz w:val="32"/>
          <w:szCs w:val="32"/>
          <w:highlight w:val="none"/>
          <w:lang w:val="en-US" w:eastAsia="zh-CN"/>
        </w:rPr>
        <w:t>4</w:t>
      </w:r>
      <w:r>
        <w:rPr>
          <w:rFonts w:hint="eastAsia" w:ascii="仿宋" w:hAnsi="仿宋" w:eastAsia="仿宋"/>
          <w:b w:val="0"/>
          <w:bCs/>
          <w:color w:val="000000"/>
          <w:sz w:val="32"/>
          <w:szCs w:val="32"/>
          <w:highlight w:val="none"/>
        </w:rPr>
        <w:t>.参加体育赛事的赛前训练(春训、春季田径运动会方阵训练、冬训等)；（出勤率90%及以上加</w:t>
      </w:r>
      <w:r>
        <w:rPr>
          <w:rFonts w:hint="eastAsia" w:ascii="仿宋" w:hAnsi="仿宋" w:eastAsia="仿宋"/>
          <w:b w:val="0"/>
          <w:bCs/>
          <w:color w:val="000000"/>
          <w:sz w:val="32"/>
          <w:szCs w:val="32"/>
          <w:highlight w:val="none"/>
          <w:lang w:val="en-US" w:eastAsia="zh-CN"/>
        </w:rPr>
        <w:t>4</w:t>
      </w:r>
      <w:r>
        <w:rPr>
          <w:rFonts w:hint="eastAsia" w:ascii="仿宋" w:hAnsi="仿宋" w:eastAsia="仿宋"/>
          <w:b w:val="0"/>
          <w:bCs/>
          <w:color w:val="000000"/>
          <w:sz w:val="32"/>
          <w:szCs w:val="32"/>
          <w:highlight w:val="none"/>
        </w:rPr>
        <w:t>分、60%—90%加</w:t>
      </w:r>
      <w:r>
        <w:rPr>
          <w:rFonts w:hint="eastAsia" w:ascii="仿宋" w:hAnsi="仿宋" w:eastAsia="仿宋"/>
          <w:b w:val="0"/>
          <w:bCs/>
          <w:color w:val="000000"/>
          <w:sz w:val="32"/>
          <w:szCs w:val="32"/>
          <w:highlight w:val="none"/>
          <w:lang w:val="en-US" w:eastAsia="zh-CN"/>
        </w:rPr>
        <w:t>3</w:t>
      </w:r>
      <w:r>
        <w:rPr>
          <w:rFonts w:hint="eastAsia" w:ascii="仿宋" w:hAnsi="仿宋" w:eastAsia="仿宋"/>
          <w:b w:val="0"/>
          <w:bCs/>
          <w:color w:val="000000"/>
          <w:sz w:val="32"/>
          <w:szCs w:val="32"/>
          <w:highlight w:val="none"/>
        </w:rPr>
        <w:t>分、60%以下加</w:t>
      </w:r>
      <w:r>
        <w:rPr>
          <w:rFonts w:hint="eastAsia" w:ascii="仿宋" w:hAnsi="仿宋" w:eastAsia="仿宋"/>
          <w:b w:val="0"/>
          <w:bCs/>
          <w:color w:val="000000"/>
          <w:sz w:val="32"/>
          <w:szCs w:val="32"/>
          <w:highlight w:val="none"/>
          <w:lang w:val="en-US" w:eastAsia="zh-CN"/>
        </w:rPr>
        <w:t>1</w:t>
      </w:r>
      <w:r>
        <w:rPr>
          <w:rFonts w:hint="eastAsia" w:ascii="仿宋" w:hAnsi="仿宋" w:eastAsia="仿宋"/>
          <w:b w:val="0"/>
          <w:bCs/>
          <w:color w:val="000000"/>
          <w:sz w:val="32"/>
          <w:szCs w:val="32"/>
          <w:highlight w:val="none"/>
        </w:rPr>
        <w:t>分。此项最高加</w:t>
      </w:r>
      <w:r>
        <w:rPr>
          <w:rFonts w:hint="eastAsia" w:ascii="仿宋" w:hAnsi="仿宋" w:eastAsia="仿宋"/>
          <w:b w:val="0"/>
          <w:bCs/>
          <w:color w:val="000000"/>
          <w:sz w:val="32"/>
          <w:szCs w:val="32"/>
          <w:highlight w:val="none"/>
          <w:lang w:val="en-US" w:eastAsia="zh-CN"/>
        </w:rPr>
        <w:t>4</w:t>
      </w:r>
      <w:r>
        <w:rPr>
          <w:rFonts w:hint="eastAsia" w:ascii="仿宋" w:hAnsi="仿宋" w:eastAsia="仿宋"/>
          <w:b w:val="0"/>
          <w:bCs/>
          <w:color w:val="000000"/>
          <w:sz w:val="32"/>
          <w:szCs w:val="32"/>
          <w:highlight w:val="none"/>
        </w:rPr>
        <w:t>分。）</w:t>
      </w:r>
    </w:p>
    <w:p w14:paraId="6F606B6F">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hint="eastAsia" w:ascii="仿宋" w:hAnsi="仿宋" w:eastAsia="仿宋"/>
          <w:b w:val="0"/>
          <w:bCs/>
          <w:color w:val="000000"/>
          <w:sz w:val="32"/>
          <w:szCs w:val="32"/>
          <w:highlight w:val="none"/>
          <w:lang w:eastAsia="zh-CN"/>
        </w:rPr>
      </w:pPr>
      <w:r>
        <w:rPr>
          <w:rFonts w:hint="eastAsia" w:ascii="仿宋" w:hAnsi="仿宋" w:eastAsia="仿宋"/>
          <w:b w:val="0"/>
          <w:bCs/>
          <w:color w:val="000000"/>
          <w:sz w:val="32"/>
          <w:szCs w:val="32"/>
          <w:highlight w:val="none"/>
          <w:lang w:val="en-US" w:eastAsia="zh-CN"/>
        </w:rPr>
        <w:t>5.</w:t>
      </w:r>
      <w:r>
        <w:rPr>
          <w:rFonts w:hint="eastAsia" w:ascii="仿宋" w:hAnsi="仿宋" w:eastAsia="仿宋"/>
          <w:b w:val="0"/>
          <w:bCs/>
          <w:color w:val="000000"/>
          <w:sz w:val="32"/>
          <w:szCs w:val="32"/>
          <w:highlight w:val="none"/>
        </w:rPr>
        <w:t>担任体育类活动志愿者（如协助组织学院运动会、趣味体育比赛、体质测试等）</w:t>
      </w:r>
      <w:r>
        <w:rPr>
          <w:rFonts w:hint="eastAsia" w:ascii="仿宋" w:hAnsi="仿宋" w:eastAsia="仿宋"/>
          <w:b w:val="0"/>
          <w:bCs/>
          <w:color w:val="000000"/>
          <w:sz w:val="32"/>
          <w:szCs w:val="32"/>
          <w:highlight w:val="none"/>
          <w:lang w:eastAsia="zh-CN"/>
        </w:rPr>
        <w:t>；（</w:t>
      </w:r>
      <w:r>
        <w:rPr>
          <w:rFonts w:hint="eastAsia" w:ascii="仿宋" w:hAnsi="仿宋" w:eastAsia="仿宋"/>
          <w:b w:val="0"/>
          <w:bCs/>
          <w:color w:val="000000"/>
          <w:sz w:val="32"/>
          <w:szCs w:val="32"/>
          <w:highlight w:val="none"/>
          <w:lang w:val="en-US" w:eastAsia="zh-CN"/>
        </w:rPr>
        <w:t>校级2分/次，院级1分/次</w:t>
      </w:r>
      <w:r>
        <w:rPr>
          <w:rFonts w:hint="eastAsia" w:ascii="仿宋" w:hAnsi="仿宋" w:eastAsia="仿宋"/>
          <w:b w:val="0"/>
          <w:bCs/>
          <w:color w:val="000000"/>
          <w:sz w:val="32"/>
          <w:szCs w:val="32"/>
          <w:highlight w:val="none"/>
          <w:lang w:eastAsia="zh-CN"/>
        </w:rPr>
        <w:t>）</w:t>
      </w:r>
    </w:p>
    <w:p w14:paraId="2EEE021C">
      <w:pPr>
        <w:keepNext w:val="0"/>
        <w:keepLines w:val="0"/>
        <w:pageBreakBefore w:val="0"/>
        <w:widowControl w:val="0"/>
        <w:kinsoku/>
        <w:overflowPunct/>
        <w:topLinePunct w:val="0"/>
        <w:bidi w:val="0"/>
        <w:adjustRightInd w:val="0"/>
        <w:snapToGrid w:val="0"/>
        <w:spacing w:after="120" w:line="560" w:lineRule="exact"/>
        <w:ind w:firstLine="640" w:firstLineChars="200"/>
        <w:textAlignment w:val="auto"/>
        <w:rPr>
          <w:rFonts w:hint="eastAsia" w:ascii="仿宋" w:hAnsi="仿宋" w:eastAsia="仿宋"/>
          <w:b w:val="0"/>
          <w:bCs/>
          <w:color w:val="000000"/>
          <w:sz w:val="32"/>
          <w:szCs w:val="32"/>
          <w:highlight w:val="none"/>
          <w:lang w:eastAsia="zh-CN"/>
        </w:rPr>
      </w:pPr>
      <w:r>
        <w:rPr>
          <w:rFonts w:hint="eastAsia" w:ascii="仿宋" w:hAnsi="仿宋" w:eastAsia="仿宋"/>
          <w:b w:val="0"/>
          <w:bCs/>
          <w:color w:val="000000"/>
          <w:sz w:val="32"/>
          <w:szCs w:val="32"/>
          <w:highlight w:val="none"/>
          <w:lang w:val="en-US" w:eastAsia="zh-CN"/>
        </w:rPr>
        <w:t>6.</w:t>
      </w:r>
      <w:r>
        <w:rPr>
          <w:rFonts w:hint="eastAsia" w:ascii="仿宋" w:hAnsi="仿宋" w:eastAsia="仿宋"/>
          <w:b w:val="0"/>
          <w:bCs/>
          <w:color w:val="000000"/>
          <w:sz w:val="32"/>
          <w:szCs w:val="32"/>
          <w:highlight w:val="none"/>
          <w:lang w:eastAsia="zh-CN"/>
        </w:rPr>
        <w:t>积极参加“阳光体育”系列活动、体育类社团、校园马拉松等群众性课外体育活动；（</w:t>
      </w:r>
      <w:r>
        <w:rPr>
          <w:rFonts w:hint="eastAsia" w:ascii="仿宋" w:hAnsi="仿宋" w:eastAsia="仿宋"/>
          <w:b w:val="0"/>
          <w:bCs/>
          <w:color w:val="000000"/>
          <w:sz w:val="32"/>
          <w:szCs w:val="32"/>
          <w:highlight w:val="none"/>
          <w:lang w:val="en-US" w:eastAsia="zh-CN"/>
        </w:rPr>
        <w:t>校级2分/次，院级1分/次</w:t>
      </w:r>
      <w:r>
        <w:rPr>
          <w:rFonts w:hint="eastAsia" w:ascii="仿宋" w:hAnsi="仿宋" w:eastAsia="仿宋"/>
          <w:b w:val="0"/>
          <w:bCs/>
          <w:color w:val="000000"/>
          <w:sz w:val="32"/>
          <w:szCs w:val="32"/>
          <w:highlight w:val="none"/>
          <w:lang w:eastAsia="zh-CN"/>
        </w:rPr>
        <w:t>）</w:t>
      </w:r>
    </w:p>
    <w:p w14:paraId="344D870F">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lang w:val="en-US" w:eastAsia="zh-CN"/>
        </w:rPr>
        <w:t>7</w:t>
      </w:r>
      <w:r>
        <w:rPr>
          <w:rFonts w:hint="eastAsia" w:ascii="仿宋" w:hAnsi="仿宋" w:eastAsia="仿宋" w:cs="仿宋"/>
          <w:b w:val="0"/>
          <w:bCs/>
          <w:color w:val="000000"/>
          <w:sz w:val="32"/>
          <w:szCs w:val="32"/>
          <w:highlight w:val="none"/>
        </w:rPr>
        <w:t>.获得各级各类体育类证书；（如裁判证、教练员证等）（</w:t>
      </w:r>
      <w:r>
        <w:rPr>
          <w:rFonts w:hint="eastAsia" w:ascii="仿宋" w:hAnsi="仿宋" w:eastAsia="仿宋" w:cs="仿宋"/>
          <w:b w:val="0"/>
          <w:bCs/>
          <w:color w:val="000000"/>
          <w:sz w:val="32"/>
          <w:szCs w:val="32"/>
          <w:highlight w:val="none"/>
          <w:lang w:val="en-US" w:eastAsia="zh-CN"/>
        </w:rPr>
        <w:t>2</w:t>
      </w:r>
      <w:r>
        <w:rPr>
          <w:rFonts w:hint="eastAsia" w:ascii="仿宋" w:hAnsi="仿宋" w:eastAsia="仿宋" w:cs="仿宋"/>
          <w:b w:val="0"/>
          <w:bCs/>
          <w:color w:val="000000"/>
          <w:sz w:val="32"/>
          <w:szCs w:val="32"/>
          <w:highlight w:val="none"/>
        </w:rPr>
        <w:t>分/项）</w:t>
      </w:r>
    </w:p>
    <w:p w14:paraId="149F13BF">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（二）竞技体育表现（10分）</w:t>
      </w:r>
    </w:p>
    <w:p w14:paraId="0BCD8F8B">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1.代表学校参加国家级、省级各级体育竞赛，按照体育赛事活动级别和获奖等级给予分层赋分；参加学校、学院各类体育竞赛并获奖。（</w:t>
      </w:r>
      <w:r>
        <w:rPr>
          <w:rFonts w:hint="eastAsia" w:ascii="仿宋" w:hAnsi="仿宋" w:eastAsia="仿宋"/>
          <w:b w:val="0"/>
          <w:bCs/>
          <w:color w:val="000000"/>
          <w:sz w:val="32"/>
          <w:szCs w:val="32"/>
          <w:highlight w:val="none"/>
        </w:rPr>
        <w:t>以学生集体或个人在各级各类体育竞赛中取得的成绩或奖励为依据。</w:t>
      </w:r>
      <w:r>
        <w:rPr>
          <w:rFonts w:hint="eastAsia" w:ascii="仿宋" w:hAnsi="仿宋" w:eastAsia="仿宋" w:cs="仿宋"/>
          <w:b w:val="0"/>
          <w:bCs/>
          <w:color w:val="000000"/>
          <w:sz w:val="32"/>
          <w:szCs w:val="32"/>
          <w:highlight w:val="none"/>
        </w:rPr>
        <w:t>）</w:t>
      </w:r>
    </w:p>
    <w:tbl>
      <w:tblPr>
        <w:tblStyle w:val="7"/>
        <w:tblW w:w="5000" w:type="pct"/>
        <w:tblInd w:w="0" w:type="dxa"/>
        <w:tblLayout w:type="autofit"/>
        <w:tblCellMar>
          <w:top w:w="0" w:type="dxa"/>
          <w:left w:w="108" w:type="dxa"/>
          <w:bottom w:w="0" w:type="dxa"/>
          <w:right w:w="108" w:type="dxa"/>
        </w:tblCellMar>
      </w:tblPr>
      <w:tblGrid>
        <w:gridCol w:w="1177"/>
        <w:gridCol w:w="1179"/>
        <w:gridCol w:w="1483"/>
        <w:gridCol w:w="1483"/>
        <w:gridCol w:w="1483"/>
        <w:gridCol w:w="2137"/>
      </w:tblGrid>
      <w:tr w14:paraId="5F7D641C">
        <w:tblPrEx>
          <w:tblCellMar>
            <w:top w:w="0" w:type="dxa"/>
            <w:left w:w="108" w:type="dxa"/>
            <w:bottom w:w="0" w:type="dxa"/>
            <w:right w:w="108" w:type="dxa"/>
          </w:tblCellMar>
        </w:tblPrEx>
        <w:trPr>
          <w:trHeight w:val="510" w:hRule="atLeast"/>
        </w:trPr>
        <w:tc>
          <w:tcPr>
            <w:tcW w:w="658" w:type="pct"/>
            <w:tcBorders>
              <w:top w:val="single" w:color="000000" w:sz="4" w:space="0"/>
              <w:left w:val="single" w:color="000000" w:sz="4" w:space="0"/>
              <w:bottom w:val="nil"/>
              <w:right w:val="nil"/>
            </w:tcBorders>
            <w:noWrap/>
            <w:vAlign w:val="center"/>
          </w:tcPr>
          <w:p w14:paraId="5C7770D8">
            <w:pPr>
              <w:keepNext w:val="0"/>
              <w:keepLines w:val="0"/>
              <w:pageBreakBefore w:val="0"/>
              <w:widowControl/>
              <w:kinsoku/>
              <w:overflowPunct/>
              <w:topLinePunct w:val="0"/>
              <w:bidi w:val="0"/>
              <w:spacing w:after="120" w:line="560" w:lineRule="exact"/>
              <w:ind w:firstLine="440"/>
              <w:jc w:val="left"/>
              <w:textAlignment w:val="center"/>
              <w:rPr>
                <w:rFonts w:ascii="仿宋" w:hAnsi="仿宋" w:eastAsia="仿宋" w:cs="宋体"/>
                <w:b w:val="0"/>
                <w:bCs/>
                <w:color w:val="000000"/>
                <w:kern w:val="2"/>
                <w:sz w:val="32"/>
                <w:szCs w:val="32"/>
                <w:highlight w:val="none"/>
              </w:rPr>
            </w:pPr>
            <w:r>
              <w:rPr>
                <w:rFonts w:hint="eastAsia" w:ascii="仿宋" w:hAnsi="仿宋" w:eastAsia="仿宋" w:cs="宋体"/>
                <w:b w:val="0"/>
                <w:bCs/>
                <w:color w:val="000000"/>
                <w:sz w:val="32"/>
                <w:szCs w:val="32"/>
                <w:highlight w:val="none"/>
                <w:bdr w:val="single" w:color="000000" w:sz="4" w:space="0"/>
              </w:rPr>
              <w:drawing>
                <wp:anchor distT="0" distB="0" distL="114300" distR="114300" simplePos="0" relativeHeight="251661312" behindDoc="0" locked="0" layoutInCell="1" allowOverlap="1">
                  <wp:simplePos x="0" y="0"/>
                  <wp:positionH relativeFrom="column">
                    <wp:posOffset>-32385</wp:posOffset>
                  </wp:positionH>
                  <wp:positionV relativeFrom="paragraph">
                    <wp:posOffset>46355</wp:posOffset>
                  </wp:positionV>
                  <wp:extent cx="1472565" cy="627380"/>
                  <wp:effectExtent l="0" t="0" r="13335" b="1270"/>
                  <wp:wrapNone/>
                  <wp:docPr id="5" name="直接连接符_1"/>
                  <wp:cNvGraphicFramePr/>
                  <a:graphic xmlns:a="http://schemas.openxmlformats.org/drawingml/2006/main">
                    <a:graphicData uri="http://schemas.openxmlformats.org/drawingml/2006/picture">
                      <pic:pic xmlns:pic="http://schemas.openxmlformats.org/drawingml/2006/picture">
                        <pic:nvPicPr>
                          <pic:cNvPr id="5" name="直接连接符_1"/>
                          <pic:cNvPicPr/>
                        </pic:nvPicPr>
                        <pic:blipFill>
                          <a:blip r:embed="rId6"/>
                          <a:stretch>
                            <a:fillRect/>
                          </a:stretch>
                        </pic:blipFill>
                        <pic:spPr>
                          <a:xfrm>
                            <a:off x="0" y="0"/>
                            <a:ext cx="1472565" cy="627380"/>
                          </a:xfrm>
                          <a:prstGeom prst="rect">
                            <a:avLst/>
                          </a:prstGeom>
                          <a:noFill/>
                          <a:ln>
                            <a:noFill/>
                          </a:ln>
                        </pic:spPr>
                      </pic:pic>
                    </a:graphicData>
                  </a:graphic>
                </wp:anchor>
              </w:drawing>
            </w:r>
            <w:r>
              <w:rPr>
                <w:rFonts w:hint="eastAsia" w:ascii="仿宋" w:hAnsi="仿宋" w:eastAsia="仿宋" w:cs="Times New Roman"/>
                <w:b w:val="0"/>
                <w:bCs/>
                <w:kern w:val="2"/>
                <w:sz w:val="32"/>
                <w:szCs w:val="32"/>
                <w:highlight w:val="none"/>
                <w:bdr w:val="single" w:color="000000" w:sz="4" w:space="0"/>
              </w:rPr>
              <w:drawing>
                <wp:anchor distT="0" distB="0" distL="114300" distR="114300" simplePos="0" relativeHeight="251662336" behindDoc="0" locked="0" layoutInCell="1" allowOverlap="1">
                  <wp:simplePos x="0" y="0"/>
                  <wp:positionH relativeFrom="column">
                    <wp:posOffset>-74930</wp:posOffset>
                  </wp:positionH>
                  <wp:positionV relativeFrom="paragraph">
                    <wp:posOffset>13970</wp:posOffset>
                  </wp:positionV>
                  <wp:extent cx="956310" cy="869950"/>
                  <wp:effectExtent l="0" t="0" r="15240" b="6350"/>
                  <wp:wrapNone/>
                  <wp:docPr id="4" name="直接连接符_2"/>
                  <wp:cNvGraphicFramePr/>
                  <a:graphic xmlns:a="http://schemas.openxmlformats.org/drawingml/2006/main">
                    <a:graphicData uri="http://schemas.openxmlformats.org/drawingml/2006/picture">
                      <pic:pic xmlns:pic="http://schemas.openxmlformats.org/drawingml/2006/picture">
                        <pic:nvPicPr>
                          <pic:cNvPr id="4" name="直接连接符_2"/>
                          <pic:cNvPicPr/>
                        </pic:nvPicPr>
                        <pic:blipFill>
                          <a:blip r:embed="rId7"/>
                          <a:stretch>
                            <a:fillRect/>
                          </a:stretch>
                        </pic:blipFill>
                        <pic:spPr>
                          <a:xfrm>
                            <a:off x="0" y="0"/>
                            <a:ext cx="956310" cy="869950"/>
                          </a:xfrm>
                          <a:prstGeom prst="rect">
                            <a:avLst/>
                          </a:prstGeom>
                          <a:noFill/>
                          <a:ln>
                            <a:noFill/>
                          </a:ln>
                        </pic:spPr>
                      </pic:pic>
                    </a:graphicData>
                  </a:graphic>
                </wp:anchor>
              </w:drawing>
            </w:r>
          </w:p>
        </w:tc>
        <w:tc>
          <w:tcPr>
            <w:tcW w:w="659" w:type="pct"/>
            <w:tcBorders>
              <w:top w:val="single" w:color="000000" w:sz="4" w:space="0"/>
              <w:left w:val="nil"/>
              <w:bottom w:val="nil"/>
              <w:right w:val="single" w:color="000000" w:sz="4" w:space="0"/>
            </w:tcBorders>
            <w:noWrap/>
            <w:vAlign w:val="center"/>
          </w:tcPr>
          <w:p w14:paraId="41B59FE6">
            <w:pPr>
              <w:keepNext w:val="0"/>
              <w:keepLines w:val="0"/>
              <w:pageBreakBefore w:val="0"/>
              <w:widowControl/>
              <w:kinsoku/>
              <w:overflowPunct/>
              <w:topLinePunct w:val="0"/>
              <w:bidi w:val="0"/>
              <w:spacing w:after="120" w:line="560" w:lineRule="exact"/>
              <w:jc w:val="left"/>
              <w:textAlignment w:val="center"/>
              <w:rPr>
                <w:rFonts w:ascii="仿宋" w:hAnsi="仿宋" w:eastAsia="仿宋" w:cs="宋体"/>
                <w:b w:val="0"/>
                <w:bCs/>
                <w:color w:val="000000"/>
                <w:kern w:val="2"/>
                <w:sz w:val="32"/>
                <w:szCs w:val="32"/>
                <w:highlight w:val="none"/>
              </w:rPr>
            </w:pPr>
            <w:r>
              <w:rPr>
                <w:rFonts w:hint="eastAsia" w:ascii="仿宋" w:hAnsi="仿宋" w:eastAsia="仿宋" w:cs="仿宋"/>
                <w:b w:val="0"/>
                <w:bCs/>
                <w:color w:val="000000"/>
                <w:sz w:val="32"/>
                <w:szCs w:val="32"/>
                <w:highlight w:val="none"/>
                <w:lang w:bidi="ar"/>
              </w:rPr>
              <w:t>名次</w:t>
            </w:r>
          </w:p>
        </w:tc>
        <w:tc>
          <w:tcPr>
            <w:tcW w:w="829" w:type="pct"/>
            <w:vMerge w:val="restart"/>
            <w:tcBorders>
              <w:top w:val="single" w:color="000000" w:sz="4" w:space="0"/>
              <w:left w:val="single" w:color="000000" w:sz="4" w:space="0"/>
              <w:bottom w:val="single" w:color="000000" w:sz="4" w:space="0"/>
              <w:right w:val="single" w:color="000000" w:sz="4" w:space="0"/>
            </w:tcBorders>
            <w:noWrap/>
            <w:vAlign w:val="center"/>
          </w:tcPr>
          <w:p w14:paraId="18C6A62B">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第一名</w:t>
            </w:r>
          </w:p>
        </w:tc>
        <w:tc>
          <w:tcPr>
            <w:tcW w:w="829" w:type="pct"/>
            <w:vMerge w:val="restart"/>
            <w:tcBorders>
              <w:top w:val="single" w:color="000000" w:sz="4" w:space="0"/>
              <w:left w:val="single" w:color="000000" w:sz="4" w:space="0"/>
              <w:bottom w:val="single" w:color="000000" w:sz="4" w:space="0"/>
              <w:right w:val="single" w:color="000000" w:sz="4" w:space="0"/>
            </w:tcBorders>
            <w:noWrap/>
            <w:vAlign w:val="center"/>
          </w:tcPr>
          <w:p w14:paraId="2D8884CC">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第二名</w:t>
            </w:r>
          </w:p>
        </w:tc>
        <w:tc>
          <w:tcPr>
            <w:tcW w:w="829" w:type="pct"/>
            <w:vMerge w:val="restart"/>
            <w:tcBorders>
              <w:top w:val="single" w:color="000000" w:sz="4" w:space="0"/>
              <w:left w:val="single" w:color="000000" w:sz="4" w:space="0"/>
              <w:bottom w:val="single" w:color="000000" w:sz="4" w:space="0"/>
              <w:right w:val="single" w:color="000000" w:sz="4" w:space="0"/>
            </w:tcBorders>
            <w:noWrap/>
            <w:vAlign w:val="center"/>
          </w:tcPr>
          <w:p w14:paraId="5CD3A982">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第三名</w:t>
            </w:r>
          </w:p>
        </w:tc>
        <w:tc>
          <w:tcPr>
            <w:tcW w:w="1194" w:type="pct"/>
            <w:vMerge w:val="restart"/>
            <w:tcBorders>
              <w:top w:val="single" w:color="000000" w:sz="4" w:space="0"/>
              <w:left w:val="single" w:color="000000" w:sz="4" w:space="0"/>
              <w:bottom w:val="single" w:color="000000" w:sz="4" w:space="0"/>
              <w:right w:val="single" w:color="000000" w:sz="4" w:space="0"/>
            </w:tcBorders>
            <w:noWrap/>
            <w:vAlign w:val="center"/>
          </w:tcPr>
          <w:p w14:paraId="79EFB0B7">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第四</w:t>
            </w:r>
            <w:r>
              <w:rPr>
                <w:rFonts w:hint="eastAsia" w:ascii="仿宋" w:hAnsi="仿宋" w:eastAsia="仿宋" w:cs="Times New Roman"/>
                <w:b w:val="0"/>
                <w:bCs/>
                <w:kern w:val="2"/>
                <w:sz w:val="32"/>
                <w:szCs w:val="32"/>
                <w:highlight w:val="none"/>
                <w:lang w:val="en-US" w:eastAsia="zh-CN"/>
              </w:rPr>
              <w:t>名</w:t>
            </w:r>
            <w:r>
              <w:rPr>
                <w:rFonts w:hint="eastAsia" w:ascii="仿宋" w:hAnsi="仿宋" w:eastAsia="仿宋" w:cs="Times New Roman"/>
                <w:b w:val="0"/>
                <w:bCs/>
                <w:kern w:val="2"/>
                <w:sz w:val="32"/>
                <w:szCs w:val="32"/>
                <w:highlight w:val="none"/>
              </w:rPr>
              <w:t>及以后</w:t>
            </w:r>
          </w:p>
        </w:tc>
      </w:tr>
      <w:tr w14:paraId="1066E8E8">
        <w:tblPrEx>
          <w:tblCellMar>
            <w:top w:w="0" w:type="dxa"/>
            <w:left w:w="108" w:type="dxa"/>
            <w:bottom w:w="0" w:type="dxa"/>
            <w:right w:w="108" w:type="dxa"/>
          </w:tblCellMar>
        </w:tblPrEx>
        <w:trPr>
          <w:trHeight w:val="554" w:hRule="atLeast"/>
        </w:trPr>
        <w:tc>
          <w:tcPr>
            <w:tcW w:w="658" w:type="pct"/>
            <w:tcBorders>
              <w:top w:val="nil"/>
              <w:left w:val="single" w:color="000000" w:sz="4" w:space="0"/>
              <w:bottom w:val="nil"/>
              <w:right w:val="nil"/>
            </w:tcBorders>
            <w:noWrap/>
            <w:vAlign w:val="center"/>
          </w:tcPr>
          <w:p w14:paraId="7D8D7022">
            <w:pPr>
              <w:keepNext w:val="0"/>
              <w:keepLines w:val="0"/>
              <w:pageBreakBefore w:val="0"/>
              <w:widowControl/>
              <w:kinsoku/>
              <w:overflowPunct/>
              <w:topLinePunct w:val="0"/>
              <w:bidi w:val="0"/>
              <w:spacing w:after="120" w:line="560" w:lineRule="exact"/>
              <w:ind w:firstLine="160" w:firstLineChars="50"/>
              <w:jc w:val="left"/>
              <w:textAlignment w:val="center"/>
              <w:rPr>
                <w:rFonts w:hint="eastAsia" w:ascii="仿宋" w:hAnsi="仿宋" w:eastAsia="仿宋" w:cs="宋体"/>
                <w:b w:val="0"/>
                <w:bCs/>
                <w:color w:val="000000"/>
                <w:kern w:val="2"/>
                <w:sz w:val="32"/>
                <w:szCs w:val="32"/>
                <w:highlight w:val="none"/>
                <w:lang w:val="en-US" w:eastAsia="zh-CN"/>
              </w:rPr>
            </w:pPr>
            <w:r>
              <w:rPr>
                <w:rFonts w:hint="eastAsia" w:ascii="仿宋" w:hAnsi="仿宋" w:eastAsia="仿宋" w:cs="仿宋"/>
                <w:b w:val="0"/>
                <w:bCs/>
                <w:color w:val="000000"/>
                <w:sz w:val="32"/>
                <w:szCs w:val="32"/>
                <w:highlight w:val="none"/>
                <w:lang w:bidi="ar"/>
              </w:rPr>
              <w:t>级</w:t>
            </w:r>
            <w:r>
              <w:rPr>
                <w:rFonts w:hint="eastAsia" w:ascii="仿宋" w:hAnsi="仿宋" w:eastAsia="仿宋" w:cs="仿宋"/>
                <w:b w:val="0"/>
                <w:bCs/>
                <w:color w:val="000000"/>
                <w:sz w:val="32"/>
                <w:szCs w:val="32"/>
                <w:highlight w:val="none"/>
                <w:lang w:val="en-US" w:eastAsia="zh-CN" w:bidi="ar"/>
              </w:rPr>
              <w:t>别</w:t>
            </w:r>
          </w:p>
        </w:tc>
        <w:tc>
          <w:tcPr>
            <w:tcW w:w="659" w:type="pct"/>
            <w:tcBorders>
              <w:top w:val="nil"/>
              <w:left w:val="nil"/>
              <w:bottom w:val="nil"/>
              <w:right w:val="single" w:color="000000" w:sz="4" w:space="0"/>
            </w:tcBorders>
            <w:noWrap/>
            <w:vAlign w:val="center"/>
          </w:tcPr>
          <w:p w14:paraId="7B128ED1">
            <w:pPr>
              <w:keepNext w:val="0"/>
              <w:keepLines w:val="0"/>
              <w:pageBreakBefore w:val="0"/>
              <w:kinsoku/>
              <w:overflowPunct/>
              <w:topLinePunct w:val="0"/>
              <w:bidi w:val="0"/>
              <w:spacing w:after="120" w:line="560" w:lineRule="exact"/>
              <w:rPr>
                <w:rFonts w:hint="eastAsia" w:ascii="仿宋" w:hAnsi="仿宋" w:eastAsia="仿宋" w:cs="宋体"/>
                <w:b w:val="0"/>
                <w:bCs/>
                <w:color w:val="000000"/>
                <w:kern w:val="2"/>
                <w:sz w:val="32"/>
                <w:szCs w:val="32"/>
                <w:highlight w:val="none"/>
                <w:lang w:val="en-US" w:eastAsia="zh-CN"/>
              </w:rPr>
            </w:pPr>
            <w:r>
              <w:rPr>
                <w:rFonts w:hint="eastAsia" w:ascii="仿宋" w:hAnsi="仿宋" w:eastAsia="仿宋" w:cs="仿宋"/>
                <w:b w:val="0"/>
                <w:bCs/>
                <w:color w:val="000000"/>
                <w:sz w:val="32"/>
                <w:szCs w:val="32"/>
                <w:highlight w:val="none"/>
                <w:lang w:bidi="ar"/>
              </w:rPr>
              <w:t>评</w:t>
            </w:r>
            <w:r>
              <w:rPr>
                <w:rFonts w:hint="eastAsia" w:ascii="仿宋" w:hAnsi="仿宋" w:eastAsia="仿宋" w:cs="仿宋"/>
                <w:b w:val="0"/>
                <w:bCs/>
                <w:color w:val="000000"/>
                <w:sz w:val="32"/>
                <w:szCs w:val="32"/>
                <w:highlight w:val="none"/>
                <w:lang w:val="en-US" w:eastAsia="zh-CN" w:bidi="ar"/>
              </w:rPr>
              <w:t>分</w:t>
            </w:r>
          </w:p>
        </w:tc>
        <w:tc>
          <w:tcPr>
            <w:tcW w:w="829" w:type="pct"/>
            <w:vMerge w:val="continue"/>
            <w:tcBorders>
              <w:top w:val="single" w:color="000000" w:sz="4" w:space="0"/>
              <w:left w:val="single" w:color="000000" w:sz="4" w:space="0"/>
              <w:bottom w:val="single" w:color="000000" w:sz="4" w:space="0"/>
              <w:right w:val="single" w:color="000000" w:sz="4" w:space="0"/>
            </w:tcBorders>
            <w:noWrap/>
            <w:vAlign w:val="center"/>
          </w:tcPr>
          <w:p w14:paraId="4A98B2FC">
            <w:pPr>
              <w:keepNext w:val="0"/>
              <w:keepLines w:val="0"/>
              <w:pageBreakBefore w:val="0"/>
              <w:kinsoku/>
              <w:overflowPunct/>
              <w:topLinePunct w:val="0"/>
              <w:bidi w:val="0"/>
              <w:spacing w:after="120" w:line="560" w:lineRule="exact"/>
              <w:ind w:firstLine="560"/>
              <w:jc w:val="center"/>
              <w:rPr>
                <w:rFonts w:ascii="仿宋" w:hAnsi="仿宋" w:eastAsia="仿宋" w:cs="Times New Roman"/>
                <w:b w:val="0"/>
                <w:bCs/>
                <w:kern w:val="2"/>
                <w:sz w:val="32"/>
                <w:szCs w:val="32"/>
                <w:highlight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ign w:val="center"/>
          </w:tcPr>
          <w:p w14:paraId="6C037BE2">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ign w:val="center"/>
          </w:tcPr>
          <w:p w14:paraId="78E6A578">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p>
        </w:tc>
        <w:tc>
          <w:tcPr>
            <w:tcW w:w="1194" w:type="pct"/>
            <w:vMerge w:val="continue"/>
            <w:tcBorders>
              <w:top w:val="single" w:color="000000" w:sz="4" w:space="0"/>
              <w:left w:val="single" w:color="000000" w:sz="4" w:space="0"/>
              <w:bottom w:val="single" w:color="000000" w:sz="4" w:space="0"/>
              <w:right w:val="single" w:color="000000" w:sz="4" w:space="0"/>
            </w:tcBorders>
            <w:noWrap/>
            <w:vAlign w:val="center"/>
          </w:tcPr>
          <w:p w14:paraId="706A73A8">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p>
        </w:tc>
      </w:tr>
      <w:tr w14:paraId="583C1D5F">
        <w:tblPrEx>
          <w:tblCellMar>
            <w:top w:w="0" w:type="dxa"/>
            <w:left w:w="108" w:type="dxa"/>
            <w:bottom w:w="0" w:type="dxa"/>
            <w:right w:w="108" w:type="dxa"/>
          </w:tblCellMar>
        </w:tblPrEx>
        <w:trPr>
          <w:trHeight w:val="680" w:hRule="atLeast"/>
        </w:trPr>
        <w:tc>
          <w:tcPr>
            <w:tcW w:w="1317" w:type="pct"/>
            <w:gridSpan w:val="2"/>
            <w:tcBorders>
              <w:top w:val="single" w:color="000000" w:sz="4" w:space="0"/>
              <w:left w:val="single" w:color="000000" w:sz="4" w:space="0"/>
              <w:bottom w:val="single" w:color="000000" w:sz="4" w:space="0"/>
              <w:right w:val="single" w:color="000000" w:sz="4" w:space="0"/>
            </w:tcBorders>
            <w:noWrap/>
            <w:vAlign w:val="center"/>
          </w:tcPr>
          <w:p w14:paraId="31CCDF3A">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国家级</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4D8DD26F">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10.0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624A60AA">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9.5</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38E60671">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9.0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5E70191A">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8.5</w:t>
            </w:r>
          </w:p>
        </w:tc>
      </w:tr>
      <w:tr w14:paraId="354F8B01">
        <w:tblPrEx>
          <w:tblCellMar>
            <w:top w:w="0" w:type="dxa"/>
            <w:left w:w="108" w:type="dxa"/>
            <w:bottom w:w="0" w:type="dxa"/>
            <w:right w:w="108" w:type="dxa"/>
          </w:tblCellMar>
        </w:tblPrEx>
        <w:trPr>
          <w:trHeight w:val="680" w:hRule="atLeast"/>
        </w:trPr>
        <w:tc>
          <w:tcPr>
            <w:tcW w:w="1317" w:type="pct"/>
            <w:gridSpan w:val="2"/>
            <w:tcBorders>
              <w:top w:val="single" w:color="000000" w:sz="4" w:space="0"/>
              <w:left w:val="single" w:color="000000" w:sz="4" w:space="0"/>
              <w:bottom w:val="single" w:color="000000" w:sz="4" w:space="0"/>
              <w:right w:val="single" w:color="000000" w:sz="4" w:space="0"/>
            </w:tcBorders>
            <w:noWrap/>
            <w:vAlign w:val="center"/>
          </w:tcPr>
          <w:p w14:paraId="1AC28ED4">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省部级</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132A1CCD">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8.0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6B799B47">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7.5</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3BFE38EF">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7.0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5A5843E4">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6.5</w:t>
            </w:r>
          </w:p>
        </w:tc>
      </w:tr>
      <w:tr w14:paraId="7805BA0E">
        <w:tblPrEx>
          <w:tblCellMar>
            <w:top w:w="0" w:type="dxa"/>
            <w:left w:w="108" w:type="dxa"/>
            <w:bottom w:w="0" w:type="dxa"/>
            <w:right w:w="108" w:type="dxa"/>
          </w:tblCellMar>
        </w:tblPrEx>
        <w:trPr>
          <w:trHeight w:val="680" w:hRule="atLeast"/>
        </w:trPr>
        <w:tc>
          <w:tcPr>
            <w:tcW w:w="1317" w:type="pct"/>
            <w:gridSpan w:val="2"/>
            <w:tcBorders>
              <w:top w:val="single" w:color="000000" w:sz="4" w:space="0"/>
              <w:left w:val="single" w:color="000000" w:sz="4" w:space="0"/>
              <w:bottom w:val="single" w:color="000000" w:sz="4" w:space="0"/>
              <w:right w:val="single" w:color="000000" w:sz="4" w:space="0"/>
            </w:tcBorders>
            <w:noWrap/>
            <w:vAlign w:val="center"/>
          </w:tcPr>
          <w:p w14:paraId="3E211984">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校级</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5B2E89BD">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6.0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411BB0D3">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5.5</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05380423">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5.0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371A014A">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4.5</w:t>
            </w:r>
          </w:p>
        </w:tc>
      </w:tr>
      <w:tr w14:paraId="7065CBE7">
        <w:tblPrEx>
          <w:tblCellMar>
            <w:top w:w="0" w:type="dxa"/>
            <w:left w:w="108" w:type="dxa"/>
            <w:bottom w:w="0" w:type="dxa"/>
            <w:right w:w="108" w:type="dxa"/>
          </w:tblCellMar>
        </w:tblPrEx>
        <w:trPr>
          <w:trHeight w:val="680" w:hRule="atLeast"/>
        </w:trPr>
        <w:tc>
          <w:tcPr>
            <w:tcW w:w="1317" w:type="pct"/>
            <w:gridSpan w:val="2"/>
            <w:tcBorders>
              <w:top w:val="single" w:color="000000" w:sz="4" w:space="0"/>
              <w:left w:val="single" w:color="000000" w:sz="4" w:space="0"/>
              <w:bottom w:val="single" w:color="000000" w:sz="4" w:space="0"/>
              <w:right w:val="single" w:color="000000" w:sz="4" w:space="0"/>
            </w:tcBorders>
            <w:noWrap/>
            <w:vAlign w:val="center"/>
          </w:tcPr>
          <w:p w14:paraId="7D21072C">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院级</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7F9BA798">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4.0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59A4CBD2">
            <w:pPr>
              <w:keepNext w:val="0"/>
              <w:keepLines w:val="0"/>
              <w:pageBreakBefore w:val="0"/>
              <w:kinsoku/>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3.5</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02809519">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eastAsia="zh-CN"/>
              </w:rPr>
            </w:pPr>
            <w:r>
              <w:rPr>
                <w:rFonts w:hint="eastAsia" w:ascii="仿宋" w:hAnsi="仿宋" w:eastAsia="仿宋" w:cs="Times New Roman"/>
                <w:b w:val="0"/>
                <w:bCs/>
                <w:kern w:val="2"/>
                <w:sz w:val="32"/>
                <w:szCs w:val="32"/>
                <w:highlight w:val="none"/>
                <w:lang w:val="en-US" w:eastAsia="zh-CN"/>
              </w:rPr>
              <w:t>3.0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6A033ABB">
            <w:pPr>
              <w:keepNext w:val="0"/>
              <w:keepLines w:val="0"/>
              <w:pageBreakBefore w:val="0"/>
              <w:kinsoku/>
              <w:overflowPunct/>
              <w:topLinePunct w:val="0"/>
              <w:bidi w:val="0"/>
              <w:spacing w:after="120" w:line="560" w:lineRule="exact"/>
              <w:jc w:val="center"/>
              <w:rPr>
                <w:rFonts w:hint="default" w:ascii="仿宋" w:hAnsi="仿宋" w:eastAsia="仿宋" w:cs="Times New Roman"/>
                <w:b w:val="0"/>
                <w:bCs/>
                <w:kern w:val="2"/>
                <w:sz w:val="32"/>
                <w:szCs w:val="32"/>
                <w:highlight w:val="none"/>
                <w:lang w:val="en-US"/>
              </w:rPr>
            </w:pPr>
            <w:r>
              <w:rPr>
                <w:rFonts w:hint="eastAsia" w:ascii="仿宋" w:hAnsi="仿宋" w:eastAsia="仿宋"/>
                <w:b w:val="0"/>
                <w:bCs/>
                <w:sz w:val="32"/>
                <w:szCs w:val="32"/>
                <w:highlight w:val="none"/>
                <w:lang w:val="en-US" w:eastAsia="zh-CN"/>
              </w:rPr>
              <w:t>2.5</w:t>
            </w:r>
          </w:p>
        </w:tc>
      </w:tr>
    </w:tbl>
    <w:p w14:paraId="48301ACA">
      <w:pPr>
        <w:pStyle w:val="3"/>
        <w:keepNext w:val="0"/>
        <w:keepLines w:val="0"/>
        <w:pageBreakBefore w:val="0"/>
        <w:kinsoku/>
        <w:overflowPunct/>
        <w:topLinePunct w:val="0"/>
        <w:bidi w:val="0"/>
        <w:spacing w:after="120" w:line="560" w:lineRule="exact"/>
        <w:ind w:left="0" w:leftChars="0" w:firstLine="560" w:firstLineChars="200"/>
        <w:rPr>
          <w:rFonts w:ascii="仿宋" w:hAnsi="仿宋" w:eastAsia="仿宋"/>
          <w:b w:val="0"/>
          <w:bCs/>
          <w:color w:val="000000"/>
          <w:sz w:val="28"/>
          <w:szCs w:val="28"/>
          <w:highlight w:val="none"/>
        </w:rPr>
      </w:pPr>
      <w:r>
        <w:rPr>
          <w:rFonts w:hint="eastAsia" w:ascii="仿宋" w:hAnsi="仿宋" w:eastAsia="仿宋"/>
          <w:b w:val="0"/>
          <w:bCs/>
          <w:color w:val="000000"/>
          <w:sz w:val="28"/>
          <w:szCs w:val="28"/>
          <w:highlight w:val="none"/>
        </w:rPr>
        <w:t>备注：①比赛若设一、二、三等奖和优秀奖，计分对应值为：一等奖对应第1名的分值，二等奖对应第2名的分值，三等奖对应第3名的分值，优秀奖对应第4名及以后的分值；</w:t>
      </w:r>
    </w:p>
    <w:p w14:paraId="2142F4A4">
      <w:pPr>
        <w:pStyle w:val="3"/>
        <w:keepNext w:val="0"/>
        <w:keepLines w:val="0"/>
        <w:pageBreakBefore w:val="0"/>
        <w:kinsoku/>
        <w:overflowPunct/>
        <w:topLinePunct w:val="0"/>
        <w:bidi w:val="0"/>
        <w:spacing w:after="120" w:line="560" w:lineRule="exact"/>
        <w:ind w:left="0" w:leftChars="0" w:firstLine="560" w:firstLineChars="200"/>
        <w:rPr>
          <w:rFonts w:ascii="仿宋" w:hAnsi="仿宋" w:eastAsia="仿宋"/>
          <w:b w:val="0"/>
          <w:bCs/>
          <w:color w:val="000000"/>
          <w:sz w:val="28"/>
          <w:szCs w:val="28"/>
          <w:highlight w:val="none"/>
        </w:rPr>
      </w:pPr>
      <w:r>
        <w:rPr>
          <w:rFonts w:hint="eastAsia" w:ascii="仿宋" w:hAnsi="仿宋" w:eastAsia="仿宋"/>
          <w:b w:val="0"/>
          <w:bCs/>
          <w:color w:val="000000"/>
          <w:sz w:val="28"/>
          <w:szCs w:val="28"/>
          <w:highlight w:val="none"/>
        </w:rPr>
        <w:t>②获校级精神文明奖、最具创意奖、最具人气奖等加</w:t>
      </w:r>
      <w:r>
        <w:rPr>
          <w:rFonts w:hint="eastAsia" w:ascii="仿宋" w:hAnsi="仿宋" w:eastAsia="仿宋"/>
          <w:b w:val="0"/>
          <w:bCs/>
          <w:color w:val="000000"/>
          <w:sz w:val="28"/>
          <w:szCs w:val="28"/>
          <w:highlight w:val="none"/>
          <w:lang w:val="en-US" w:eastAsia="zh-CN"/>
        </w:rPr>
        <w:t>2</w:t>
      </w:r>
      <w:r>
        <w:rPr>
          <w:rFonts w:hint="eastAsia" w:ascii="仿宋" w:hAnsi="仿宋" w:eastAsia="仿宋"/>
          <w:b w:val="0"/>
          <w:bCs/>
          <w:color w:val="000000"/>
          <w:sz w:val="28"/>
          <w:szCs w:val="28"/>
          <w:highlight w:val="none"/>
        </w:rPr>
        <w:t>分，获院级精神文明奖、最具创意奖、最具人气奖等加</w:t>
      </w:r>
      <w:r>
        <w:rPr>
          <w:rFonts w:hint="eastAsia" w:ascii="仿宋" w:hAnsi="仿宋" w:eastAsia="仿宋"/>
          <w:b w:val="0"/>
          <w:bCs/>
          <w:color w:val="000000"/>
          <w:sz w:val="28"/>
          <w:szCs w:val="28"/>
          <w:highlight w:val="none"/>
          <w:lang w:val="en-US" w:eastAsia="zh-CN"/>
        </w:rPr>
        <w:t>1</w:t>
      </w:r>
      <w:r>
        <w:rPr>
          <w:rFonts w:hint="eastAsia" w:ascii="仿宋" w:hAnsi="仿宋" w:eastAsia="仿宋"/>
          <w:b w:val="0"/>
          <w:bCs/>
          <w:color w:val="000000"/>
          <w:sz w:val="28"/>
          <w:szCs w:val="28"/>
          <w:highlight w:val="none"/>
        </w:rPr>
        <w:t>分。</w:t>
      </w:r>
    </w:p>
    <w:p w14:paraId="3D0CD4A0">
      <w:pPr>
        <w:pStyle w:val="3"/>
        <w:keepNext w:val="0"/>
        <w:keepLines w:val="0"/>
        <w:pageBreakBefore w:val="0"/>
        <w:kinsoku/>
        <w:overflowPunct/>
        <w:topLinePunct w:val="0"/>
        <w:bidi w:val="0"/>
        <w:spacing w:after="120" w:line="560" w:lineRule="exact"/>
        <w:ind w:left="0" w:leftChars="0" w:firstLine="640" w:firstLineChars="200"/>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2.参加社团联合会体育竞赛；（校级分别以一、二、三等奖加</w:t>
      </w:r>
      <w:r>
        <w:rPr>
          <w:rFonts w:hint="eastAsia" w:ascii="仿宋" w:hAnsi="仿宋" w:eastAsia="仿宋"/>
          <w:b w:val="0"/>
          <w:bCs/>
          <w:color w:val="000000"/>
          <w:sz w:val="32"/>
          <w:szCs w:val="32"/>
          <w:highlight w:val="none"/>
          <w:lang w:val="en-US" w:eastAsia="zh-CN"/>
        </w:rPr>
        <w:t>6</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val="en-US" w:eastAsia="zh-CN"/>
        </w:rPr>
        <w:t>5</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val="en-US" w:eastAsia="zh-CN"/>
        </w:rPr>
        <w:t>4</w:t>
      </w:r>
      <w:r>
        <w:rPr>
          <w:rFonts w:hint="eastAsia" w:ascii="仿宋" w:hAnsi="仿宋" w:eastAsia="仿宋"/>
          <w:b w:val="0"/>
          <w:bCs/>
          <w:color w:val="000000"/>
          <w:sz w:val="32"/>
          <w:szCs w:val="32"/>
          <w:highlight w:val="none"/>
        </w:rPr>
        <w:t>分，院级分别以一、二、三等奖加</w:t>
      </w:r>
      <w:r>
        <w:rPr>
          <w:rFonts w:hint="eastAsia" w:ascii="仿宋" w:hAnsi="仿宋" w:eastAsia="仿宋"/>
          <w:b w:val="0"/>
          <w:bCs/>
          <w:color w:val="000000"/>
          <w:sz w:val="32"/>
          <w:szCs w:val="32"/>
          <w:highlight w:val="none"/>
          <w:lang w:val="en-US" w:eastAsia="zh-CN"/>
        </w:rPr>
        <w:t>3</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val="en-US" w:eastAsia="zh-CN"/>
        </w:rPr>
        <w:t>2</w:t>
      </w:r>
      <w:r>
        <w:rPr>
          <w:rFonts w:hint="eastAsia" w:ascii="仿宋" w:hAnsi="仿宋" w:eastAsia="仿宋"/>
          <w:b w:val="0"/>
          <w:bCs/>
          <w:color w:val="000000"/>
          <w:sz w:val="32"/>
          <w:szCs w:val="32"/>
          <w:highlight w:val="none"/>
        </w:rPr>
        <w:t>、</w:t>
      </w:r>
      <w:r>
        <w:rPr>
          <w:rFonts w:hint="eastAsia" w:ascii="仿宋" w:hAnsi="仿宋" w:eastAsia="仿宋"/>
          <w:b w:val="0"/>
          <w:bCs/>
          <w:color w:val="000000"/>
          <w:sz w:val="32"/>
          <w:szCs w:val="32"/>
          <w:highlight w:val="none"/>
          <w:lang w:val="en-US" w:eastAsia="zh-CN"/>
        </w:rPr>
        <w:t>1</w:t>
      </w:r>
      <w:r>
        <w:rPr>
          <w:rFonts w:hint="eastAsia" w:ascii="仿宋" w:hAnsi="仿宋" w:eastAsia="仿宋"/>
          <w:b w:val="0"/>
          <w:bCs/>
          <w:color w:val="000000"/>
          <w:sz w:val="32"/>
          <w:szCs w:val="32"/>
          <w:highlight w:val="none"/>
        </w:rPr>
        <w:t>分）</w:t>
      </w:r>
    </w:p>
    <w:p w14:paraId="50C66321">
      <w:pPr>
        <w:pStyle w:val="3"/>
        <w:keepNext w:val="0"/>
        <w:keepLines w:val="0"/>
        <w:pageBreakBefore w:val="0"/>
        <w:kinsoku/>
        <w:overflowPunct/>
        <w:topLinePunct w:val="0"/>
        <w:bidi w:val="0"/>
        <w:spacing w:after="120" w:line="560" w:lineRule="exact"/>
        <w:ind w:left="0" w:leftChars="0" w:firstLine="640" w:firstLineChars="200"/>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3.代表学院参加学校组织的各类体育比赛(如运动会、越野赛、篮球赛、排球赛、足球赛、羽毛球比赛、乒乓球赛、跳绳比赛、拔河比赛等)未获名次者；（0.</w:t>
      </w:r>
      <w:r>
        <w:rPr>
          <w:rFonts w:hint="eastAsia" w:ascii="仿宋" w:hAnsi="仿宋" w:eastAsia="仿宋"/>
          <w:b w:val="0"/>
          <w:bCs/>
          <w:color w:val="000000"/>
          <w:sz w:val="32"/>
          <w:szCs w:val="32"/>
          <w:highlight w:val="none"/>
          <w:lang w:val="en-US" w:eastAsia="zh-CN"/>
        </w:rPr>
        <w:t>6</w:t>
      </w:r>
      <w:r>
        <w:rPr>
          <w:rFonts w:hint="eastAsia" w:ascii="仿宋" w:hAnsi="仿宋" w:eastAsia="仿宋"/>
          <w:b w:val="0"/>
          <w:bCs/>
          <w:color w:val="000000"/>
          <w:sz w:val="32"/>
          <w:szCs w:val="32"/>
          <w:highlight w:val="none"/>
        </w:rPr>
        <w:t>分/次）</w:t>
      </w:r>
    </w:p>
    <w:p w14:paraId="16A717EF">
      <w:pPr>
        <w:keepNext w:val="0"/>
        <w:keepLines w:val="0"/>
        <w:pageBreakBefore w:val="0"/>
        <w:kinsoku/>
        <w:wordWrap w:val="0"/>
        <w:overflowPunct/>
        <w:topLinePunct w:val="0"/>
        <w:autoSpaceDE w:val="0"/>
        <w:autoSpaceDN w:val="0"/>
        <w:bidi w:val="0"/>
        <w:spacing w:after="120" w:line="560" w:lineRule="exact"/>
        <w:ind w:firstLine="640" w:firstLineChars="200"/>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（三）文化活动展演（5分）</w:t>
      </w:r>
    </w:p>
    <w:p w14:paraId="5298883C">
      <w:pPr>
        <w:keepNext w:val="0"/>
        <w:keepLines w:val="0"/>
        <w:pageBreakBefore w:val="0"/>
        <w:kinsoku/>
        <w:wordWrap w:val="0"/>
        <w:overflowPunct/>
        <w:topLinePunct w:val="0"/>
        <w:autoSpaceDE w:val="0"/>
        <w:autoSpaceDN w:val="0"/>
        <w:bidi w:val="0"/>
        <w:spacing w:after="120" w:line="560" w:lineRule="exact"/>
        <w:ind w:firstLine="640" w:firstLineChars="200"/>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参与校级及以上各类体育赛事开闭幕式等团体或个人表演项目；（国家级</w:t>
      </w:r>
      <w:r>
        <w:rPr>
          <w:rFonts w:hint="eastAsia" w:ascii="仿宋" w:hAnsi="仿宋" w:eastAsia="仿宋" w:cs="仿宋"/>
          <w:b w:val="0"/>
          <w:bCs/>
          <w:color w:val="000000"/>
          <w:sz w:val="32"/>
          <w:szCs w:val="32"/>
          <w:highlight w:val="none"/>
          <w:lang w:val="en-US" w:eastAsia="zh-CN"/>
        </w:rPr>
        <w:t>5</w:t>
      </w:r>
      <w:r>
        <w:rPr>
          <w:rFonts w:hint="eastAsia" w:ascii="仿宋" w:hAnsi="仿宋" w:eastAsia="仿宋" w:cs="仿宋"/>
          <w:b w:val="0"/>
          <w:bCs/>
          <w:color w:val="000000"/>
          <w:sz w:val="32"/>
          <w:szCs w:val="32"/>
          <w:highlight w:val="none"/>
        </w:rPr>
        <w:t>分/次，省级</w:t>
      </w:r>
      <w:r>
        <w:rPr>
          <w:rFonts w:hint="eastAsia" w:ascii="仿宋" w:hAnsi="仿宋" w:eastAsia="仿宋" w:cs="仿宋"/>
          <w:b w:val="0"/>
          <w:bCs/>
          <w:color w:val="000000"/>
          <w:sz w:val="32"/>
          <w:szCs w:val="32"/>
          <w:highlight w:val="none"/>
          <w:lang w:val="en-US" w:eastAsia="zh-CN"/>
        </w:rPr>
        <w:t>4</w:t>
      </w:r>
      <w:r>
        <w:rPr>
          <w:rFonts w:hint="eastAsia" w:ascii="仿宋" w:hAnsi="仿宋" w:eastAsia="仿宋" w:cs="仿宋"/>
          <w:b w:val="0"/>
          <w:bCs/>
          <w:color w:val="000000"/>
          <w:sz w:val="32"/>
          <w:szCs w:val="32"/>
          <w:highlight w:val="none"/>
        </w:rPr>
        <w:t>分/次，</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p>
    <w:p w14:paraId="7FBF87C3">
      <w:pPr>
        <w:keepNext w:val="0"/>
        <w:keepLines w:val="0"/>
        <w:pageBreakBefore w:val="0"/>
        <w:numPr>
          <w:ilvl w:val="0"/>
          <w:numId w:val="2"/>
        </w:numPr>
        <w:kinsoku/>
        <w:wordWrap w:val="0"/>
        <w:overflowPunct/>
        <w:topLinePunct w:val="0"/>
        <w:autoSpaceDE w:val="0"/>
        <w:autoSpaceDN w:val="0"/>
        <w:bidi w:val="0"/>
        <w:spacing w:after="120" w:line="560" w:lineRule="exact"/>
        <w:ind w:firstLine="640" w:firstLineChars="200"/>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经学院认定的其他加分项（上限10分）</w:t>
      </w:r>
    </w:p>
    <w:p w14:paraId="118DF534">
      <w:pPr>
        <w:keepNext w:val="0"/>
        <w:keepLines w:val="0"/>
        <w:pageBreakBefore w:val="0"/>
        <w:kinsoku/>
        <w:wordWrap w:val="0"/>
        <w:overflowPunct/>
        <w:topLinePunct w:val="0"/>
        <w:autoSpaceDE w:val="0"/>
        <w:autoSpaceDN w:val="0"/>
        <w:bidi w:val="0"/>
        <w:spacing w:after="120" w:line="560" w:lineRule="exact"/>
        <w:ind w:firstLine="640" w:firstLineChars="200"/>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lang w:val="en-US" w:eastAsia="zh-CN"/>
        </w:rPr>
        <w:t>1.</w:t>
      </w:r>
      <w:r>
        <w:rPr>
          <w:rFonts w:hint="eastAsia" w:ascii="仿宋" w:hAnsi="仿宋" w:eastAsia="仿宋" w:cs="仿宋"/>
          <w:b w:val="0"/>
          <w:bCs/>
          <w:color w:val="000000"/>
          <w:sz w:val="32"/>
          <w:szCs w:val="32"/>
          <w:highlight w:val="none"/>
        </w:rPr>
        <w:t>其他体育类活动（</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p>
    <w:p w14:paraId="36CF5225">
      <w:pPr>
        <w:keepNext w:val="0"/>
        <w:keepLines w:val="0"/>
        <w:pageBreakBefore w:val="0"/>
        <w:widowControl w:val="0"/>
        <w:kinsoku/>
        <w:wordWrap w:val="0"/>
        <w:overflowPunct/>
        <w:topLinePunct w:val="0"/>
        <w:autoSpaceDE w:val="0"/>
        <w:autoSpaceDN w:val="0"/>
        <w:bidi w:val="0"/>
        <w:adjustRightInd/>
        <w:snapToGrid/>
        <w:spacing w:before="0" w:after="120" w:line="560" w:lineRule="exact"/>
        <w:ind w:firstLine="0" w:firstLineChars="0"/>
        <w:jc w:val="center"/>
        <w:textAlignment w:val="auto"/>
        <w:rPr>
          <w:rFonts w:hint="eastAsia" w:ascii="楷体" w:hAnsi="楷体" w:eastAsia="楷体" w:cs="楷体"/>
          <w:b w:val="0"/>
          <w:bCs w:val="0"/>
          <w:color w:val="000000"/>
          <w:kern w:val="2"/>
          <w:sz w:val="32"/>
          <w:szCs w:val="32"/>
          <w:highlight w:val="none"/>
        </w:rPr>
      </w:pPr>
      <w:r>
        <w:rPr>
          <w:rFonts w:hint="eastAsia" w:ascii="楷体" w:hAnsi="楷体" w:eastAsia="楷体" w:cs="楷体"/>
          <w:b w:val="0"/>
          <w:bCs w:val="0"/>
          <w:color w:val="000000"/>
          <w:kern w:val="2"/>
          <w:sz w:val="32"/>
          <w:szCs w:val="32"/>
          <w:highlight w:val="none"/>
        </w:rPr>
        <w:t>第四部分 美育素质能力测评标准</w:t>
      </w:r>
    </w:p>
    <w:p w14:paraId="166021F2">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一、美育素质能力测评模块突出大学生艺术实践与审美，强化审美教育、情操教育、心灵教育，提升大学生审美和人文素养，以及感受美、表现美、鉴赏美、创造美的能力。</w:t>
      </w:r>
    </w:p>
    <w:p w14:paraId="1ADC90A9">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美育素质能力测评内容主要包括学生对美的感知能力、鉴赏能力、表现能力和创造能力，以及参与文化艺术活动、文艺创作、文艺比赛及成果等方面的表现。美育素质能力测评采用百分制，测评成绩M包括美育基础性评价得分M1和美育成果性评价得分M2两部分。该项总分不超过100分，累计得分超过100分的按100分计。</w:t>
      </w:r>
    </w:p>
    <w:p w14:paraId="083C12F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cs="仿宋"/>
          <w:b w:val="0"/>
          <w:bCs/>
          <w:color w:val="000000"/>
          <w:sz w:val="32"/>
          <w:szCs w:val="32"/>
          <w:highlight w:val="none"/>
        </w:rPr>
        <w:t>三、美育基础性评价总分为60分，分为</w:t>
      </w:r>
      <w:r>
        <w:rPr>
          <w:rFonts w:hint="eastAsia" w:ascii="仿宋" w:hAnsi="仿宋" w:eastAsia="仿宋"/>
          <w:b w:val="0"/>
          <w:bCs/>
          <w:sz w:val="32"/>
          <w:szCs w:val="32"/>
          <w:highlight w:val="none"/>
        </w:rPr>
        <w:t>文化理解与价值认同、审美态度与感知能力、审美观念与情趣修养三个部分。班级工作小组在全面了解班级学生的基础上，根据学生日常生活表现进行综合评价赋分，评价标准如下：</w:t>
      </w:r>
    </w:p>
    <w:p w14:paraId="5455A6F9">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（一）文化理解与价值认同（20分）</w:t>
      </w:r>
    </w:p>
    <w:p w14:paraId="0D7D87C3">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1.积极践行社会主义核心价值观，在审美与艺术活动中体现爱国、敬业、诚信、友善等价值准则。（4分）</w:t>
      </w:r>
    </w:p>
    <w:p w14:paraId="3686E09B">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2.大力弘扬中华优秀传统文化，熟悉传统艺术形式（如书法、国画、戏曲、民乐等），理解其中蕴含的人文精神与美学智慧。（4分）</w:t>
      </w:r>
    </w:p>
    <w:p w14:paraId="411A6B65">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3.继承革命文化，能够从革命历史题材的文艺作品与红色遗迹中感受崇高美、信念美，传承红色基因。（4分）</w:t>
      </w:r>
    </w:p>
    <w:p w14:paraId="025C149B">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4.发展社会主义先进文化，关注反映时代精神与社会新貌的文艺创作，认同社会主义文艺的人民性与创新性。（4分）</w:t>
      </w:r>
    </w:p>
    <w:p w14:paraId="3650FA37">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5.尊重世界多元文化，在比较与交流中增强文化自信，培养开放包容的审美胸怀。（4分）</w:t>
      </w:r>
    </w:p>
    <w:p w14:paraId="11444E5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（二）审美态度与感知能力（20分）</w:t>
      </w:r>
    </w:p>
    <w:p w14:paraId="37679B16">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1.具有热爱美、向往美、追求美的积极态度，主动参与校内外各类审美活动，乐于体验自然、社会与艺术之美。（4分）</w:t>
      </w:r>
    </w:p>
    <w:p w14:paraId="412F8A74">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2.具备认识美的初步能力，能够辨识美的不同形态（如优美、崇高、喜剧、悲剧等）及其基本特征。（4分）</w:t>
      </w:r>
    </w:p>
    <w:p w14:paraId="2B5CAD55">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3.发展感受美的敏锐能力，善于从日常生活、自然景观、人际交往中捕捉色彩、声音、形态、情感等审美元素。（4分）</w:t>
      </w:r>
    </w:p>
    <w:p w14:paraId="2C4582C6">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4.提升欣赏美的理解能力，能结合背景知识对艺术作品进行有逻辑、有感受力的赏析，形成个人审美见解。（4分）</w:t>
      </w:r>
    </w:p>
    <w:p w14:paraId="1D3C0F23">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5.初步掌握创造美的表现能力，尝试运用一种或多种艺术媒介（如绘画、音乐、舞蹈、写作等）表达自己的审美感受与创意。（4分）</w:t>
      </w:r>
    </w:p>
    <w:p w14:paraId="1D821399">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（三）审美观念与情趣修养（20分）</w:t>
      </w:r>
    </w:p>
    <w:p w14:paraId="555FD62B">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1.树立正确、恰当的审美观念，不盲目跟从低级趣味或过度商业化潮流，坚持真善美统一的价值取向。（4分）</w:t>
      </w:r>
    </w:p>
    <w:p w14:paraId="4D4226E9">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2.培养健康的审美情趣，注重服装美：着装整洁得体，符合年龄身份与场合，不追求奇装异服或奢侈攀比。（4分）</w:t>
      </w:r>
    </w:p>
    <w:p w14:paraId="030181B8">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3.注重行为美：举止优雅、礼貌待人、遵守公序良俗，在言谈行止中展现文明有礼的气质。（4分）</w:t>
      </w:r>
    </w:p>
    <w:p w14:paraId="558B47E7">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4.注重语言美：使用文明、规范、富有感染力的语言，不说粗话脏话，善于用语言传递善意与美好。（4分）</w:t>
      </w:r>
    </w:p>
    <w:p w14:paraId="4EB51D4E">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5.注重心灵美：追求内在善良、真诚、乐观、坚强的品质，将审美修养与人格完善融为一体，做到表里如一。（4分）</w:t>
      </w:r>
    </w:p>
    <w:p w14:paraId="4DC6EBD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四、美育成果性评价总分原则上为40分，累计得分超过40分的以40分计。测评内容主要包括艺术实践与素养、艺术竞赛与成果等部分。由各学院测评工作组依据学院测评细则对学生相关表现进行综合评价赋分。</w:t>
      </w:r>
    </w:p>
    <w:p w14:paraId="192D4C7D">
      <w:pPr>
        <w:keepNext w:val="0"/>
        <w:keepLines w:val="0"/>
        <w:pageBreakBefore w:val="0"/>
        <w:widowControl w:val="0"/>
        <w:kinsoku/>
        <w:wordWrap w:val="0"/>
        <w:overflowPunct/>
        <w:topLinePunct w:val="0"/>
        <w:autoSpaceDE w:val="0"/>
        <w:autoSpaceDN w:val="0"/>
        <w:bidi w:val="0"/>
        <w:spacing w:after="8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（一）艺术实践与素养（25分）</w:t>
      </w:r>
    </w:p>
    <w:p w14:paraId="552131DB">
      <w:pPr>
        <w:keepNext w:val="0"/>
        <w:keepLines w:val="0"/>
        <w:pageBreakBefore w:val="0"/>
        <w:widowControl w:val="0"/>
        <w:kinsoku/>
        <w:overflowPunct/>
        <w:topLinePunct w:val="0"/>
        <w:bidi w:val="0"/>
        <w:adjustRightInd w:val="0"/>
        <w:snapToGrid w:val="0"/>
        <w:spacing w:after="8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1.加入校级大学生艺术团或高水平艺术类社团、学院各类文化艺术队，完成日常训练，并持续参加排练和演出；（校、院级</w:t>
      </w:r>
      <w:r>
        <w:rPr>
          <w:rFonts w:hint="eastAsia" w:ascii="仿宋" w:hAnsi="仿宋" w:eastAsia="仿宋"/>
          <w:b w:val="0"/>
          <w:bCs/>
          <w:color w:val="000000"/>
          <w:sz w:val="32"/>
          <w:szCs w:val="32"/>
          <w:highlight w:val="none"/>
        </w:rPr>
        <w:t>负责人加</w:t>
      </w:r>
      <w:r>
        <w:rPr>
          <w:rFonts w:hint="eastAsia" w:ascii="仿宋" w:hAnsi="仿宋" w:eastAsia="仿宋"/>
          <w:b w:val="0"/>
          <w:bCs/>
          <w:color w:val="000000"/>
          <w:sz w:val="32"/>
          <w:szCs w:val="32"/>
          <w:highlight w:val="none"/>
          <w:lang w:val="en-US" w:eastAsia="zh-CN"/>
        </w:rPr>
        <w:t>4</w:t>
      </w:r>
      <w:r>
        <w:rPr>
          <w:rFonts w:hint="eastAsia" w:ascii="仿宋" w:hAnsi="仿宋" w:eastAsia="仿宋"/>
          <w:b w:val="0"/>
          <w:bCs/>
          <w:color w:val="000000"/>
          <w:sz w:val="32"/>
          <w:szCs w:val="32"/>
          <w:highlight w:val="none"/>
        </w:rPr>
        <w:t>分，队员加</w:t>
      </w:r>
      <w:r>
        <w:rPr>
          <w:rFonts w:hint="eastAsia" w:ascii="仿宋" w:hAnsi="仿宋" w:eastAsia="仿宋"/>
          <w:b w:val="0"/>
          <w:bCs/>
          <w:color w:val="000000"/>
          <w:sz w:val="32"/>
          <w:szCs w:val="32"/>
          <w:highlight w:val="none"/>
          <w:lang w:val="en-US" w:eastAsia="zh-CN"/>
        </w:rPr>
        <w:t>2</w:t>
      </w:r>
      <w:r>
        <w:rPr>
          <w:rFonts w:hint="eastAsia" w:ascii="仿宋" w:hAnsi="仿宋" w:eastAsia="仿宋"/>
          <w:b w:val="0"/>
          <w:bCs/>
          <w:color w:val="000000"/>
          <w:sz w:val="32"/>
          <w:szCs w:val="32"/>
          <w:highlight w:val="none"/>
        </w:rPr>
        <w:t>分</w:t>
      </w:r>
      <w:r>
        <w:rPr>
          <w:rFonts w:hint="eastAsia" w:ascii="仿宋" w:hAnsi="仿宋" w:eastAsia="仿宋" w:cs="仿宋"/>
          <w:b w:val="0"/>
          <w:bCs/>
          <w:color w:val="000000"/>
          <w:sz w:val="32"/>
          <w:szCs w:val="32"/>
          <w:highlight w:val="none"/>
        </w:rPr>
        <w:t>）</w:t>
      </w:r>
    </w:p>
    <w:p w14:paraId="71973C73">
      <w:pPr>
        <w:keepNext w:val="0"/>
        <w:keepLines w:val="0"/>
        <w:pageBreakBefore w:val="0"/>
        <w:widowControl w:val="0"/>
        <w:kinsoku/>
        <w:wordWrap w:val="0"/>
        <w:overflowPunct/>
        <w:topLinePunct w:val="0"/>
        <w:autoSpaceDE w:val="0"/>
        <w:autoSpaceDN w:val="0"/>
        <w:bidi w:val="0"/>
        <w:spacing w:after="8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2.参加学校、学院举办的各类校园文化活动；（</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，上限1</w:t>
      </w:r>
      <w:r>
        <w:rPr>
          <w:rFonts w:hint="eastAsia" w:ascii="仿宋" w:hAnsi="仿宋" w:eastAsia="仿宋" w:cs="仿宋"/>
          <w:b w:val="0"/>
          <w:bCs/>
          <w:color w:val="000000"/>
          <w:sz w:val="32"/>
          <w:szCs w:val="32"/>
          <w:highlight w:val="none"/>
          <w:lang w:val="en-US" w:eastAsia="zh-CN"/>
        </w:rPr>
        <w:t>5</w:t>
      </w:r>
      <w:r>
        <w:rPr>
          <w:rFonts w:hint="eastAsia" w:ascii="仿宋" w:hAnsi="仿宋" w:eastAsia="仿宋" w:cs="仿宋"/>
          <w:b w:val="0"/>
          <w:bCs/>
          <w:color w:val="000000"/>
          <w:sz w:val="32"/>
          <w:szCs w:val="32"/>
          <w:highlight w:val="none"/>
        </w:rPr>
        <w:t>分）</w:t>
      </w:r>
    </w:p>
    <w:p w14:paraId="39E8C46C">
      <w:pPr>
        <w:keepNext w:val="0"/>
        <w:keepLines w:val="0"/>
        <w:pageBreakBefore w:val="0"/>
        <w:widowControl w:val="0"/>
        <w:kinsoku/>
        <w:wordWrap w:val="0"/>
        <w:overflowPunct/>
        <w:topLinePunct w:val="0"/>
        <w:autoSpaceDE w:val="0"/>
        <w:autoSpaceDN w:val="0"/>
        <w:bidi w:val="0"/>
        <w:spacing w:after="8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3.积极参加学校、学院开展的各类群众性的班级、团支部的美育主题实践或文艺活动；（</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，上限</w:t>
      </w:r>
      <w:r>
        <w:rPr>
          <w:rFonts w:hint="eastAsia" w:ascii="仿宋" w:hAnsi="仿宋" w:eastAsia="仿宋" w:cs="仿宋"/>
          <w:b w:val="0"/>
          <w:bCs/>
          <w:color w:val="000000"/>
          <w:sz w:val="32"/>
          <w:szCs w:val="32"/>
          <w:highlight w:val="none"/>
          <w:lang w:val="en-US" w:eastAsia="zh-CN"/>
        </w:rPr>
        <w:t>10</w:t>
      </w:r>
      <w:r>
        <w:rPr>
          <w:rFonts w:hint="eastAsia" w:ascii="仿宋" w:hAnsi="仿宋" w:eastAsia="仿宋" w:cs="仿宋"/>
          <w:b w:val="0"/>
          <w:bCs/>
          <w:color w:val="000000"/>
          <w:sz w:val="32"/>
          <w:szCs w:val="32"/>
          <w:highlight w:val="none"/>
        </w:rPr>
        <w:t>分）</w:t>
      </w:r>
    </w:p>
    <w:p w14:paraId="46E1354D">
      <w:pPr>
        <w:keepNext w:val="0"/>
        <w:keepLines w:val="0"/>
        <w:pageBreakBefore w:val="0"/>
        <w:widowControl w:val="0"/>
        <w:kinsoku/>
        <w:wordWrap w:val="0"/>
        <w:overflowPunct/>
        <w:topLinePunct w:val="0"/>
        <w:autoSpaceDE w:val="0"/>
        <w:autoSpaceDN w:val="0"/>
        <w:bidi w:val="0"/>
        <w:spacing w:after="8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4.参加迎新晚会、元旦晚会</w:t>
      </w:r>
      <w:r>
        <w:rPr>
          <w:rFonts w:hint="eastAsia" w:ascii="仿宋" w:hAnsi="仿宋" w:eastAsia="仿宋" w:cs="仿宋"/>
          <w:b w:val="0"/>
          <w:bCs/>
          <w:color w:val="000000"/>
          <w:sz w:val="32"/>
          <w:szCs w:val="32"/>
          <w:highlight w:val="none"/>
          <w:lang w:eastAsia="zh-CN"/>
        </w:rPr>
        <w:t>、</w:t>
      </w:r>
      <w:r>
        <w:rPr>
          <w:rFonts w:hint="eastAsia" w:ascii="仿宋" w:hAnsi="仿宋" w:eastAsia="仿宋" w:cs="仿宋"/>
          <w:b w:val="0"/>
          <w:bCs/>
          <w:color w:val="000000"/>
          <w:sz w:val="32"/>
          <w:szCs w:val="32"/>
          <w:highlight w:val="none"/>
          <w:lang w:val="en-US" w:eastAsia="zh-CN"/>
        </w:rPr>
        <w:t>校园之春</w:t>
      </w:r>
      <w:r>
        <w:rPr>
          <w:rFonts w:hint="eastAsia" w:ascii="仿宋" w:hAnsi="仿宋" w:eastAsia="仿宋" w:cs="仿宋"/>
          <w:b w:val="0"/>
          <w:bCs/>
          <w:color w:val="000000"/>
          <w:sz w:val="32"/>
          <w:szCs w:val="32"/>
          <w:highlight w:val="none"/>
        </w:rPr>
        <w:t>等各级各类校园文化活动；（主持人</w:t>
      </w:r>
      <w:r>
        <w:rPr>
          <w:rFonts w:hint="eastAsia" w:ascii="仿宋" w:hAnsi="仿宋" w:eastAsia="仿宋" w:cs="仿宋"/>
          <w:b w:val="0"/>
          <w:bCs/>
          <w:color w:val="000000"/>
          <w:sz w:val="32"/>
          <w:szCs w:val="32"/>
          <w:highlight w:val="none"/>
          <w:lang w:val="en-US" w:eastAsia="zh-CN"/>
        </w:rPr>
        <w:t>3</w:t>
      </w:r>
      <w:r>
        <w:rPr>
          <w:rFonts w:hint="eastAsia" w:ascii="仿宋" w:hAnsi="仿宋" w:eastAsia="仿宋" w:cs="仿宋"/>
          <w:b w:val="0"/>
          <w:bCs/>
          <w:color w:val="000000"/>
          <w:sz w:val="32"/>
          <w:szCs w:val="32"/>
          <w:highlight w:val="none"/>
        </w:rPr>
        <w:t>分/次，其他工作人员：</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，上限</w:t>
      </w:r>
      <w:r>
        <w:rPr>
          <w:rFonts w:hint="eastAsia" w:ascii="仿宋" w:hAnsi="仿宋" w:eastAsia="仿宋" w:cs="仿宋"/>
          <w:b w:val="0"/>
          <w:bCs/>
          <w:color w:val="000000"/>
          <w:sz w:val="32"/>
          <w:szCs w:val="32"/>
          <w:highlight w:val="none"/>
          <w:lang w:val="en-US" w:eastAsia="zh-CN"/>
        </w:rPr>
        <w:t>10</w:t>
      </w:r>
      <w:r>
        <w:rPr>
          <w:rFonts w:hint="eastAsia" w:ascii="仿宋" w:hAnsi="仿宋" w:eastAsia="仿宋" w:cs="仿宋"/>
          <w:b w:val="0"/>
          <w:bCs/>
          <w:color w:val="000000"/>
          <w:sz w:val="32"/>
          <w:szCs w:val="32"/>
          <w:highlight w:val="none"/>
        </w:rPr>
        <w:t>分）</w:t>
      </w:r>
    </w:p>
    <w:p w14:paraId="25766242">
      <w:pPr>
        <w:pStyle w:val="3"/>
        <w:keepNext w:val="0"/>
        <w:keepLines w:val="0"/>
        <w:pageBreakBefore w:val="0"/>
        <w:widowControl w:val="0"/>
        <w:kinsoku/>
        <w:overflowPunct/>
        <w:topLinePunct w:val="0"/>
        <w:bidi w:val="0"/>
        <w:spacing w:after="80" w:line="560" w:lineRule="exact"/>
        <w:ind w:left="0" w:leftChars="0"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宋体"/>
          <w:b w:val="0"/>
          <w:bCs/>
          <w:color w:val="000000"/>
          <w:sz w:val="32"/>
          <w:szCs w:val="32"/>
          <w:highlight w:val="none"/>
          <w:bdr w:val="single" w:color="000000" w:sz="4" w:space="0"/>
        </w:rPr>
        <w:drawing>
          <wp:anchor distT="0" distB="0" distL="114300" distR="114300" simplePos="0" relativeHeight="251663360" behindDoc="0" locked="0" layoutInCell="1" allowOverlap="1">
            <wp:simplePos x="0" y="0"/>
            <wp:positionH relativeFrom="column">
              <wp:posOffset>-53975</wp:posOffset>
            </wp:positionH>
            <wp:positionV relativeFrom="paragraph">
              <wp:posOffset>1472565</wp:posOffset>
            </wp:positionV>
            <wp:extent cx="1524635" cy="574675"/>
            <wp:effectExtent l="0" t="0" r="18415" b="15875"/>
            <wp:wrapNone/>
            <wp:docPr id="7" name="直接连接符_1"/>
            <wp:cNvGraphicFramePr/>
            <a:graphic xmlns:a="http://schemas.openxmlformats.org/drawingml/2006/main">
              <a:graphicData uri="http://schemas.openxmlformats.org/drawingml/2006/picture">
                <pic:pic xmlns:pic="http://schemas.openxmlformats.org/drawingml/2006/picture">
                  <pic:nvPicPr>
                    <pic:cNvPr id="7" name="直接连接符_1"/>
                    <pic:cNvPicPr/>
                  </pic:nvPicPr>
                  <pic:blipFill>
                    <a:blip r:embed="rId6"/>
                    <a:stretch>
                      <a:fillRect/>
                    </a:stretch>
                  </pic:blipFill>
                  <pic:spPr>
                    <a:xfrm>
                      <a:off x="0" y="0"/>
                      <a:ext cx="1524635" cy="574675"/>
                    </a:xfrm>
                    <a:prstGeom prst="rect">
                      <a:avLst/>
                    </a:prstGeom>
                    <a:noFill/>
                    <a:ln>
                      <a:noFill/>
                    </a:ln>
                  </pic:spPr>
                </pic:pic>
              </a:graphicData>
            </a:graphic>
          </wp:anchor>
        </w:drawing>
      </w:r>
      <w:r>
        <w:rPr>
          <w:rFonts w:hint="eastAsia" w:ascii="仿宋" w:hAnsi="仿宋" w:eastAsia="仿宋" w:cs="仿宋"/>
          <w:b w:val="0"/>
          <w:bCs/>
          <w:color w:val="000000"/>
          <w:sz w:val="32"/>
          <w:szCs w:val="32"/>
          <w:highlight w:val="none"/>
        </w:rPr>
        <w:t>5.代表学校各类组织赴校外作为参赛选手参加各类演出；</w:t>
      </w:r>
      <w:r>
        <w:rPr>
          <w:rFonts w:hint="eastAsia" w:ascii="仿宋" w:hAnsi="仿宋" w:eastAsia="仿宋"/>
          <w:b w:val="0"/>
          <w:bCs/>
          <w:color w:val="000000"/>
          <w:sz w:val="32"/>
          <w:szCs w:val="32"/>
          <w:highlight w:val="none"/>
        </w:rPr>
        <w:t>(如舞蹈大赛、</w:t>
      </w:r>
      <w:r>
        <w:rPr>
          <w:rFonts w:hint="eastAsia" w:ascii="仿宋" w:hAnsi="仿宋" w:eastAsia="仿宋"/>
          <w:b w:val="0"/>
          <w:bCs/>
          <w:color w:val="000000"/>
          <w:sz w:val="32"/>
          <w:szCs w:val="32"/>
          <w:highlight w:val="none"/>
          <w:lang w:val="en-US" w:eastAsia="zh-CN"/>
        </w:rPr>
        <w:t>十佳歌手比赛、</w:t>
      </w:r>
      <w:r>
        <w:rPr>
          <w:rFonts w:hint="eastAsia" w:ascii="仿宋" w:hAnsi="仿宋" w:eastAsia="仿宋"/>
          <w:b w:val="0"/>
          <w:bCs/>
          <w:color w:val="000000"/>
          <w:sz w:val="32"/>
          <w:szCs w:val="32"/>
          <w:highlight w:val="none"/>
        </w:rPr>
        <w:t>歌咏比赛、相声小品大赛、演讲比赛、主持人大赛、形象大使大赛、书画展、手工艺品展、辩论比赛等)</w:t>
      </w:r>
    </w:p>
    <w:tbl>
      <w:tblPr>
        <w:tblStyle w:val="7"/>
        <w:tblW w:w="5000" w:type="pct"/>
        <w:tblInd w:w="0" w:type="dxa"/>
        <w:tblLayout w:type="autofit"/>
        <w:tblCellMar>
          <w:top w:w="0" w:type="dxa"/>
          <w:left w:w="108" w:type="dxa"/>
          <w:bottom w:w="0" w:type="dxa"/>
          <w:right w:w="108" w:type="dxa"/>
        </w:tblCellMar>
      </w:tblPr>
      <w:tblGrid>
        <w:gridCol w:w="1177"/>
        <w:gridCol w:w="1181"/>
        <w:gridCol w:w="1482"/>
        <w:gridCol w:w="1482"/>
        <w:gridCol w:w="1483"/>
        <w:gridCol w:w="2137"/>
      </w:tblGrid>
      <w:tr w14:paraId="4FC49EEE">
        <w:tblPrEx>
          <w:tblCellMar>
            <w:top w:w="0" w:type="dxa"/>
            <w:left w:w="108" w:type="dxa"/>
            <w:bottom w:w="0" w:type="dxa"/>
            <w:right w:w="108" w:type="dxa"/>
          </w:tblCellMar>
        </w:tblPrEx>
        <w:trPr>
          <w:trHeight w:val="170" w:hRule="atLeast"/>
        </w:trPr>
        <w:tc>
          <w:tcPr>
            <w:tcW w:w="658" w:type="pct"/>
            <w:tcBorders>
              <w:top w:val="single" w:color="000000" w:sz="4" w:space="0"/>
              <w:left w:val="single" w:color="000000" w:sz="4" w:space="0"/>
              <w:bottom w:val="nil"/>
              <w:right w:val="nil"/>
            </w:tcBorders>
            <w:noWrap/>
            <w:vAlign w:val="center"/>
          </w:tcPr>
          <w:p w14:paraId="0377DBBB">
            <w:pPr>
              <w:keepNext w:val="0"/>
              <w:keepLines w:val="0"/>
              <w:pageBreakBefore w:val="0"/>
              <w:widowControl/>
              <w:kinsoku/>
              <w:wordWrap/>
              <w:overflowPunct/>
              <w:topLinePunct w:val="0"/>
              <w:autoSpaceDE/>
              <w:autoSpaceDN/>
              <w:bidi w:val="0"/>
              <w:adjustRightInd/>
              <w:snapToGrid/>
              <w:spacing w:line="560" w:lineRule="exact"/>
              <w:ind w:firstLine="440"/>
              <w:jc w:val="center"/>
              <w:textAlignment w:val="center"/>
              <w:rPr>
                <w:rFonts w:ascii="仿宋" w:hAnsi="仿宋" w:eastAsia="仿宋" w:cs="宋体"/>
                <w:b w:val="0"/>
                <w:bCs/>
                <w:color w:val="000000"/>
                <w:kern w:val="2"/>
                <w:sz w:val="32"/>
                <w:szCs w:val="32"/>
                <w:highlight w:val="none"/>
              </w:rPr>
            </w:pPr>
            <w:r>
              <w:rPr>
                <w:rFonts w:hint="eastAsia" w:ascii="仿宋" w:hAnsi="仿宋" w:eastAsia="仿宋" w:cs="Times New Roman"/>
                <w:b w:val="0"/>
                <w:bCs/>
                <w:kern w:val="2"/>
                <w:sz w:val="32"/>
                <w:szCs w:val="32"/>
                <w:highlight w:val="none"/>
                <w:bdr w:val="single" w:color="000000" w:sz="4" w:space="0"/>
              </w:rPr>
              <w:drawing>
                <wp:anchor distT="0" distB="0" distL="114300" distR="114300" simplePos="0" relativeHeight="251664384" behindDoc="0" locked="0" layoutInCell="1" allowOverlap="1">
                  <wp:simplePos x="0" y="0"/>
                  <wp:positionH relativeFrom="column">
                    <wp:posOffset>-76200</wp:posOffset>
                  </wp:positionH>
                  <wp:positionV relativeFrom="paragraph">
                    <wp:posOffset>-1270</wp:posOffset>
                  </wp:positionV>
                  <wp:extent cx="999490" cy="744855"/>
                  <wp:effectExtent l="0" t="0" r="10160" b="17145"/>
                  <wp:wrapNone/>
                  <wp:docPr id="6" name="直接连接符_2"/>
                  <wp:cNvGraphicFramePr/>
                  <a:graphic xmlns:a="http://schemas.openxmlformats.org/drawingml/2006/main">
                    <a:graphicData uri="http://schemas.openxmlformats.org/drawingml/2006/picture">
                      <pic:pic xmlns:pic="http://schemas.openxmlformats.org/drawingml/2006/picture">
                        <pic:nvPicPr>
                          <pic:cNvPr id="6" name="直接连接符_2"/>
                          <pic:cNvPicPr/>
                        </pic:nvPicPr>
                        <pic:blipFill>
                          <a:blip r:embed="rId7"/>
                          <a:stretch>
                            <a:fillRect/>
                          </a:stretch>
                        </pic:blipFill>
                        <pic:spPr>
                          <a:xfrm>
                            <a:off x="0" y="0"/>
                            <a:ext cx="999490" cy="744855"/>
                          </a:xfrm>
                          <a:prstGeom prst="rect">
                            <a:avLst/>
                          </a:prstGeom>
                          <a:noFill/>
                          <a:ln>
                            <a:noFill/>
                          </a:ln>
                        </pic:spPr>
                      </pic:pic>
                    </a:graphicData>
                  </a:graphic>
                </wp:anchor>
              </w:drawing>
            </w:r>
          </w:p>
        </w:tc>
        <w:tc>
          <w:tcPr>
            <w:tcW w:w="660" w:type="pct"/>
            <w:tcBorders>
              <w:top w:val="single" w:color="000000" w:sz="4" w:space="0"/>
              <w:left w:val="nil"/>
              <w:bottom w:val="nil"/>
              <w:right w:val="single" w:color="000000" w:sz="4" w:space="0"/>
            </w:tcBorders>
            <w:noWrap/>
            <w:vAlign w:val="center"/>
          </w:tcPr>
          <w:p w14:paraId="696E9200">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宋体"/>
                <w:b w:val="0"/>
                <w:bCs/>
                <w:color w:val="000000"/>
                <w:kern w:val="2"/>
                <w:sz w:val="32"/>
                <w:szCs w:val="32"/>
                <w:highlight w:val="none"/>
              </w:rPr>
            </w:pPr>
            <w:r>
              <w:rPr>
                <w:rFonts w:hint="eastAsia" w:ascii="仿宋" w:hAnsi="仿宋" w:eastAsia="仿宋" w:cs="仿宋"/>
                <w:b w:val="0"/>
                <w:bCs/>
                <w:color w:val="000000"/>
                <w:sz w:val="32"/>
                <w:szCs w:val="32"/>
                <w:highlight w:val="none"/>
                <w:lang w:bidi="ar"/>
              </w:rPr>
              <w:t>名次</w:t>
            </w:r>
          </w:p>
        </w:tc>
        <w:tc>
          <w:tcPr>
            <w:tcW w:w="828" w:type="pct"/>
            <w:vMerge w:val="restart"/>
            <w:tcBorders>
              <w:top w:val="single" w:color="000000" w:sz="4" w:space="0"/>
              <w:left w:val="single" w:color="000000" w:sz="4" w:space="0"/>
              <w:bottom w:val="single" w:color="000000" w:sz="4" w:space="0"/>
              <w:right w:val="single" w:color="000000" w:sz="4" w:space="0"/>
            </w:tcBorders>
            <w:noWrap/>
            <w:vAlign w:val="center"/>
          </w:tcPr>
          <w:p w14:paraId="12CE4303">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第一名</w:t>
            </w:r>
          </w:p>
        </w:tc>
        <w:tc>
          <w:tcPr>
            <w:tcW w:w="828" w:type="pct"/>
            <w:vMerge w:val="restart"/>
            <w:tcBorders>
              <w:top w:val="single" w:color="000000" w:sz="4" w:space="0"/>
              <w:left w:val="single" w:color="000000" w:sz="4" w:space="0"/>
              <w:bottom w:val="single" w:color="000000" w:sz="4" w:space="0"/>
              <w:right w:val="single" w:color="000000" w:sz="4" w:space="0"/>
            </w:tcBorders>
            <w:noWrap/>
            <w:vAlign w:val="center"/>
          </w:tcPr>
          <w:p w14:paraId="5BBB7641">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第二名</w:t>
            </w:r>
          </w:p>
        </w:tc>
        <w:tc>
          <w:tcPr>
            <w:tcW w:w="829" w:type="pct"/>
            <w:vMerge w:val="restart"/>
            <w:tcBorders>
              <w:top w:val="single" w:color="000000" w:sz="4" w:space="0"/>
              <w:left w:val="single" w:color="000000" w:sz="4" w:space="0"/>
              <w:bottom w:val="single" w:color="000000" w:sz="4" w:space="0"/>
              <w:right w:val="single" w:color="000000" w:sz="4" w:space="0"/>
            </w:tcBorders>
            <w:noWrap/>
            <w:vAlign w:val="center"/>
          </w:tcPr>
          <w:p w14:paraId="2DCD4495">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第三名</w:t>
            </w:r>
          </w:p>
        </w:tc>
        <w:tc>
          <w:tcPr>
            <w:tcW w:w="1194" w:type="pct"/>
            <w:vMerge w:val="restart"/>
            <w:tcBorders>
              <w:top w:val="single" w:color="000000" w:sz="4" w:space="0"/>
              <w:left w:val="single" w:color="000000" w:sz="4" w:space="0"/>
              <w:bottom w:val="single" w:color="000000" w:sz="4" w:space="0"/>
              <w:right w:val="single" w:color="000000" w:sz="4" w:space="0"/>
            </w:tcBorders>
            <w:noWrap/>
            <w:vAlign w:val="center"/>
          </w:tcPr>
          <w:p w14:paraId="018401EA">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第四</w:t>
            </w:r>
            <w:r>
              <w:rPr>
                <w:rFonts w:hint="eastAsia" w:ascii="仿宋" w:hAnsi="仿宋" w:eastAsia="仿宋" w:cs="Times New Roman"/>
                <w:b w:val="0"/>
                <w:bCs/>
                <w:kern w:val="2"/>
                <w:sz w:val="32"/>
                <w:szCs w:val="32"/>
                <w:highlight w:val="none"/>
                <w:lang w:val="en-US" w:eastAsia="zh-CN"/>
              </w:rPr>
              <w:t>名</w:t>
            </w:r>
            <w:r>
              <w:rPr>
                <w:rFonts w:hint="eastAsia" w:ascii="仿宋" w:hAnsi="仿宋" w:eastAsia="仿宋" w:cs="Times New Roman"/>
                <w:b w:val="0"/>
                <w:bCs/>
                <w:kern w:val="2"/>
                <w:sz w:val="32"/>
                <w:szCs w:val="32"/>
                <w:highlight w:val="none"/>
              </w:rPr>
              <w:t>及以后</w:t>
            </w:r>
          </w:p>
        </w:tc>
      </w:tr>
      <w:tr w14:paraId="2157278A">
        <w:tblPrEx>
          <w:tblCellMar>
            <w:top w:w="0" w:type="dxa"/>
            <w:left w:w="108" w:type="dxa"/>
            <w:bottom w:w="0" w:type="dxa"/>
            <w:right w:w="108" w:type="dxa"/>
          </w:tblCellMar>
        </w:tblPrEx>
        <w:trPr>
          <w:trHeight w:val="170" w:hRule="atLeast"/>
        </w:trPr>
        <w:tc>
          <w:tcPr>
            <w:tcW w:w="658" w:type="pct"/>
            <w:tcBorders>
              <w:top w:val="nil"/>
              <w:left w:val="single" w:color="000000" w:sz="4" w:space="0"/>
              <w:bottom w:val="nil"/>
              <w:right w:val="nil"/>
            </w:tcBorders>
            <w:noWrap/>
            <w:vAlign w:val="center"/>
          </w:tcPr>
          <w:p w14:paraId="7DBD0C48">
            <w:pPr>
              <w:keepNext w:val="0"/>
              <w:keepLines w:val="0"/>
              <w:pageBreakBefore w:val="0"/>
              <w:widowControl/>
              <w:kinsoku/>
              <w:wordWrap/>
              <w:overflowPunct/>
              <w:topLinePunct w:val="0"/>
              <w:autoSpaceDE/>
              <w:autoSpaceDN/>
              <w:bidi w:val="0"/>
              <w:adjustRightInd/>
              <w:snapToGrid/>
              <w:spacing w:line="560" w:lineRule="exact"/>
              <w:ind w:firstLine="160" w:firstLineChars="50"/>
              <w:jc w:val="center"/>
              <w:textAlignment w:val="center"/>
              <w:rPr>
                <w:rFonts w:hint="eastAsia" w:ascii="仿宋" w:hAnsi="仿宋" w:eastAsia="仿宋" w:cs="宋体"/>
                <w:b w:val="0"/>
                <w:bCs/>
                <w:color w:val="000000"/>
                <w:kern w:val="2"/>
                <w:sz w:val="32"/>
                <w:szCs w:val="32"/>
                <w:highlight w:val="none"/>
                <w:lang w:val="en-US" w:eastAsia="zh-CN"/>
              </w:rPr>
            </w:pPr>
            <w:r>
              <w:rPr>
                <w:rFonts w:hint="eastAsia" w:ascii="仿宋" w:hAnsi="仿宋" w:eastAsia="仿宋" w:cs="仿宋"/>
                <w:b w:val="0"/>
                <w:bCs/>
                <w:color w:val="000000"/>
                <w:sz w:val="32"/>
                <w:szCs w:val="32"/>
                <w:highlight w:val="none"/>
                <w:lang w:bidi="ar"/>
              </w:rPr>
              <w:t>级</w:t>
            </w:r>
            <w:r>
              <w:rPr>
                <w:rFonts w:hint="eastAsia" w:ascii="仿宋" w:hAnsi="仿宋" w:eastAsia="仿宋" w:cs="仿宋"/>
                <w:b w:val="0"/>
                <w:bCs/>
                <w:color w:val="000000"/>
                <w:sz w:val="32"/>
                <w:szCs w:val="32"/>
                <w:highlight w:val="none"/>
                <w:lang w:val="en-US" w:eastAsia="zh-CN" w:bidi="ar"/>
              </w:rPr>
              <w:t>别</w:t>
            </w:r>
          </w:p>
        </w:tc>
        <w:tc>
          <w:tcPr>
            <w:tcW w:w="660" w:type="pct"/>
            <w:tcBorders>
              <w:top w:val="nil"/>
              <w:left w:val="nil"/>
              <w:bottom w:val="nil"/>
              <w:right w:val="single" w:color="000000" w:sz="4" w:space="0"/>
            </w:tcBorders>
            <w:noWrap/>
            <w:vAlign w:val="center"/>
          </w:tcPr>
          <w:p w14:paraId="45586A7D">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宋体"/>
                <w:b w:val="0"/>
                <w:bCs/>
                <w:color w:val="000000"/>
                <w:kern w:val="2"/>
                <w:sz w:val="32"/>
                <w:szCs w:val="32"/>
                <w:highlight w:val="none"/>
                <w:lang w:val="en-US" w:eastAsia="zh-CN"/>
              </w:rPr>
            </w:pPr>
            <w:r>
              <w:rPr>
                <w:rFonts w:hint="eastAsia" w:ascii="仿宋" w:hAnsi="仿宋" w:eastAsia="仿宋" w:cs="仿宋"/>
                <w:b w:val="0"/>
                <w:bCs/>
                <w:color w:val="000000"/>
                <w:sz w:val="32"/>
                <w:szCs w:val="32"/>
                <w:highlight w:val="none"/>
                <w:lang w:bidi="ar"/>
              </w:rPr>
              <w:t>评</w:t>
            </w:r>
            <w:r>
              <w:rPr>
                <w:rFonts w:hint="eastAsia" w:ascii="仿宋" w:hAnsi="仿宋" w:eastAsia="仿宋" w:cs="仿宋"/>
                <w:b w:val="0"/>
                <w:bCs/>
                <w:color w:val="000000"/>
                <w:sz w:val="32"/>
                <w:szCs w:val="32"/>
                <w:highlight w:val="none"/>
                <w:lang w:val="en-US" w:eastAsia="zh-CN" w:bidi="ar"/>
              </w:rPr>
              <w:t>分</w:t>
            </w:r>
          </w:p>
        </w:tc>
        <w:tc>
          <w:tcPr>
            <w:tcW w:w="828" w:type="pct"/>
            <w:vMerge w:val="continue"/>
            <w:tcBorders>
              <w:top w:val="single" w:color="000000" w:sz="4" w:space="0"/>
              <w:left w:val="single" w:color="000000" w:sz="4" w:space="0"/>
              <w:bottom w:val="single" w:color="000000" w:sz="4" w:space="0"/>
              <w:right w:val="single" w:color="000000" w:sz="4" w:space="0"/>
            </w:tcBorders>
            <w:noWrap/>
            <w:vAlign w:val="center"/>
          </w:tcPr>
          <w:p w14:paraId="250D5F2A">
            <w:pPr>
              <w:keepNext w:val="0"/>
              <w:keepLines w:val="0"/>
              <w:pageBreakBefore w:val="0"/>
              <w:overflowPunct/>
              <w:topLinePunct w:val="0"/>
              <w:bidi w:val="0"/>
              <w:spacing w:after="120" w:line="560" w:lineRule="exact"/>
              <w:ind w:firstLine="560"/>
              <w:jc w:val="center"/>
              <w:rPr>
                <w:rFonts w:ascii="仿宋" w:hAnsi="仿宋" w:eastAsia="仿宋" w:cs="Times New Roman"/>
                <w:b w:val="0"/>
                <w:bCs/>
                <w:kern w:val="2"/>
                <w:sz w:val="32"/>
                <w:szCs w:val="32"/>
                <w:highlight w:val="none"/>
              </w:rPr>
            </w:pPr>
          </w:p>
        </w:tc>
        <w:tc>
          <w:tcPr>
            <w:tcW w:w="828" w:type="pct"/>
            <w:vMerge w:val="continue"/>
            <w:tcBorders>
              <w:top w:val="single" w:color="000000" w:sz="4" w:space="0"/>
              <w:left w:val="single" w:color="000000" w:sz="4" w:space="0"/>
              <w:bottom w:val="single" w:color="000000" w:sz="4" w:space="0"/>
              <w:right w:val="single" w:color="000000" w:sz="4" w:space="0"/>
            </w:tcBorders>
            <w:noWrap/>
            <w:vAlign w:val="center"/>
          </w:tcPr>
          <w:p w14:paraId="29D85CFE">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ign w:val="center"/>
          </w:tcPr>
          <w:p w14:paraId="5B2C1093">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p>
        </w:tc>
        <w:tc>
          <w:tcPr>
            <w:tcW w:w="1194" w:type="pct"/>
            <w:vMerge w:val="continue"/>
            <w:tcBorders>
              <w:top w:val="single" w:color="000000" w:sz="4" w:space="0"/>
              <w:left w:val="single" w:color="000000" w:sz="4" w:space="0"/>
              <w:bottom w:val="single" w:color="000000" w:sz="4" w:space="0"/>
              <w:right w:val="single" w:color="000000" w:sz="4" w:space="0"/>
            </w:tcBorders>
            <w:noWrap/>
            <w:vAlign w:val="center"/>
          </w:tcPr>
          <w:p w14:paraId="1D0F2591">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p>
        </w:tc>
      </w:tr>
      <w:tr w14:paraId="47F42471">
        <w:tblPrEx>
          <w:tblCellMar>
            <w:top w:w="0" w:type="dxa"/>
            <w:left w:w="108" w:type="dxa"/>
            <w:bottom w:w="0" w:type="dxa"/>
            <w:right w:w="108" w:type="dxa"/>
          </w:tblCellMar>
        </w:tblPrEx>
        <w:trPr>
          <w:trHeight w:val="624" w:hRule="atLeast"/>
        </w:trPr>
        <w:tc>
          <w:tcPr>
            <w:tcW w:w="1318" w:type="pct"/>
            <w:gridSpan w:val="2"/>
            <w:tcBorders>
              <w:top w:val="single" w:color="000000" w:sz="4" w:space="0"/>
              <w:left w:val="single" w:color="000000" w:sz="4" w:space="0"/>
              <w:bottom w:val="single" w:color="000000" w:sz="4" w:space="0"/>
              <w:right w:val="single" w:color="000000" w:sz="4" w:space="0"/>
            </w:tcBorders>
            <w:noWrap/>
            <w:vAlign w:val="center"/>
          </w:tcPr>
          <w:p w14:paraId="1E3ABBB8">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国家级</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53B5E74C">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w:t>
            </w:r>
            <w:r>
              <w:rPr>
                <w:rFonts w:hint="eastAsia" w:ascii="仿宋" w:hAnsi="仿宋" w:eastAsia="仿宋"/>
                <w:b w:val="0"/>
                <w:bCs/>
                <w:sz w:val="32"/>
                <w:szCs w:val="32"/>
                <w:highlight w:val="none"/>
              </w:rPr>
              <w:t>5</w:t>
            </w:r>
            <w:r>
              <w:rPr>
                <w:rFonts w:ascii="仿宋" w:hAnsi="仿宋" w:eastAsia="仿宋"/>
                <w:b w:val="0"/>
                <w:bCs/>
                <w:sz w:val="32"/>
                <w:szCs w:val="32"/>
                <w:highlight w:val="none"/>
              </w:rPr>
              <w:t>.0</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6C85244">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14.0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32897B55">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13.0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61F562D7">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12.0</w:t>
            </w:r>
          </w:p>
        </w:tc>
      </w:tr>
      <w:tr w14:paraId="1FFC8DD3">
        <w:tblPrEx>
          <w:tblCellMar>
            <w:top w:w="0" w:type="dxa"/>
            <w:left w:w="108" w:type="dxa"/>
            <w:bottom w:w="0" w:type="dxa"/>
            <w:right w:w="108" w:type="dxa"/>
          </w:tblCellMar>
        </w:tblPrEx>
        <w:trPr>
          <w:trHeight w:val="624" w:hRule="atLeast"/>
        </w:trPr>
        <w:tc>
          <w:tcPr>
            <w:tcW w:w="1318" w:type="pct"/>
            <w:gridSpan w:val="2"/>
            <w:tcBorders>
              <w:top w:val="single" w:color="000000" w:sz="4" w:space="0"/>
              <w:left w:val="single" w:color="000000" w:sz="4" w:space="0"/>
              <w:bottom w:val="single" w:color="000000" w:sz="4" w:space="0"/>
              <w:right w:val="single" w:color="000000" w:sz="4" w:space="0"/>
            </w:tcBorders>
            <w:noWrap/>
            <w:vAlign w:val="center"/>
          </w:tcPr>
          <w:p w14:paraId="293177D7">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省部级</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258690D">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11.5</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24B67E79">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10.5</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3D528F3A">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9.5</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74217F2B">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8.5</w:t>
            </w:r>
          </w:p>
        </w:tc>
      </w:tr>
      <w:tr w14:paraId="7C9A5ADB">
        <w:tblPrEx>
          <w:tblCellMar>
            <w:top w:w="0" w:type="dxa"/>
            <w:left w:w="108" w:type="dxa"/>
            <w:bottom w:w="0" w:type="dxa"/>
            <w:right w:w="108" w:type="dxa"/>
          </w:tblCellMar>
        </w:tblPrEx>
        <w:trPr>
          <w:trHeight w:val="624" w:hRule="atLeast"/>
        </w:trPr>
        <w:tc>
          <w:tcPr>
            <w:tcW w:w="1318" w:type="pct"/>
            <w:gridSpan w:val="2"/>
            <w:tcBorders>
              <w:top w:val="single" w:color="000000" w:sz="4" w:space="0"/>
              <w:left w:val="single" w:color="000000" w:sz="4" w:space="0"/>
              <w:bottom w:val="single" w:color="000000" w:sz="4" w:space="0"/>
              <w:right w:val="single" w:color="000000" w:sz="4" w:space="0"/>
            </w:tcBorders>
            <w:noWrap/>
            <w:vAlign w:val="center"/>
          </w:tcPr>
          <w:p w14:paraId="683D0465">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校级</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6004FD0F">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8.0</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05C1C8D">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7.0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221DD48F">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6.0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3065C5B1">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5.0</w:t>
            </w:r>
          </w:p>
        </w:tc>
      </w:tr>
    </w:tbl>
    <w:p w14:paraId="593D61D3">
      <w:pPr>
        <w:pStyle w:val="3"/>
        <w:keepNext w:val="0"/>
        <w:keepLines w:val="0"/>
        <w:pageBreakBefore w:val="0"/>
        <w:widowControl w:val="0"/>
        <w:kinsoku/>
        <w:overflowPunct/>
        <w:topLinePunct w:val="0"/>
        <w:bidi w:val="0"/>
        <w:adjustRightInd/>
        <w:snapToGrid/>
        <w:spacing w:after="120" w:line="560" w:lineRule="exact"/>
        <w:ind w:left="0" w:leftChars="0" w:firstLine="560" w:firstLineChars="200"/>
        <w:textAlignment w:val="auto"/>
        <w:rPr>
          <w:rFonts w:ascii="仿宋" w:hAnsi="仿宋" w:eastAsia="仿宋" w:cs="仿宋"/>
          <w:b w:val="0"/>
          <w:bCs/>
          <w:color w:val="000000"/>
          <w:sz w:val="28"/>
          <w:szCs w:val="28"/>
          <w:highlight w:val="none"/>
        </w:rPr>
      </w:pPr>
      <w:r>
        <w:rPr>
          <w:rFonts w:hint="eastAsia" w:ascii="仿宋" w:hAnsi="仿宋" w:eastAsia="仿宋"/>
          <w:b w:val="0"/>
          <w:bCs/>
          <w:color w:val="000000"/>
          <w:sz w:val="28"/>
          <w:szCs w:val="28"/>
          <w:highlight w:val="none"/>
          <w:lang w:val="en-US" w:eastAsia="zh-CN"/>
        </w:rPr>
        <w:t>备注：</w:t>
      </w:r>
      <w:r>
        <w:rPr>
          <w:rFonts w:hint="eastAsia" w:ascii="仿宋" w:hAnsi="仿宋" w:eastAsia="仿宋"/>
          <w:b w:val="0"/>
          <w:bCs/>
          <w:color w:val="000000"/>
          <w:sz w:val="28"/>
          <w:szCs w:val="28"/>
          <w:highlight w:val="none"/>
        </w:rPr>
        <w:t>比赛若设一、二、三等奖和优秀奖，计分对应值为：一等奖对应第1名的分值，二等奖对应第2名的分值，三等奖对应第3名的分值，优秀奖对应第4名及以后的分值；</w:t>
      </w:r>
    </w:p>
    <w:p w14:paraId="34BAD48B">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6.参加美育赛事的赛前训练（啦啦操训练、舞蹈大赛等）；（出勤率90%以上加</w:t>
      </w:r>
      <w:r>
        <w:rPr>
          <w:rFonts w:hint="eastAsia" w:ascii="仿宋" w:hAnsi="仿宋" w:eastAsia="仿宋" w:cs="仿宋"/>
          <w:b w:val="0"/>
          <w:bCs/>
          <w:color w:val="000000"/>
          <w:sz w:val="32"/>
          <w:szCs w:val="32"/>
          <w:highlight w:val="none"/>
          <w:lang w:val="en-US" w:eastAsia="zh-CN"/>
        </w:rPr>
        <w:t>4</w:t>
      </w:r>
      <w:r>
        <w:rPr>
          <w:rFonts w:hint="eastAsia" w:ascii="仿宋" w:hAnsi="仿宋" w:eastAsia="仿宋" w:cs="仿宋"/>
          <w:b w:val="0"/>
          <w:bCs/>
          <w:color w:val="000000"/>
          <w:sz w:val="32"/>
          <w:szCs w:val="32"/>
          <w:highlight w:val="none"/>
        </w:rPr>
        <w:t>分、60%—90%加</w:t>
      </w:r>
      <w:r>
        <w:rPr>
          <w:rFonts w:hint="eastAsia" w:ascii="仿宋" w:hAnsi="仿宋" w:eastAsia="仿宋" w:cs="仿宋"/>
          <w:b w:val="0"/>
          <w:bCs/>
          <w:color w:val="000000"/>
          <w:sz w:val="32"/>
          <w:szCs w:val="32"/>
          <w:highlight w:val="none"/>
          <w:lang w:val="en-US" w:eastAsia="zh-CN"/>
        </w:rPr>
        <w:t>3</w:t>
      </w:r>
      <w:r>
        <w:rPr>
          <w:rFonts w:hint="eastAsia" w:ascii="仿宋" w:hAnsi="仿宋" w:eastAsia="仿宋" w:cs="仿宋"/>
          <w:b w:val="0"/>
          <w:bCs/>
          <w:color w:val="000000"/>
          <w:sz w:val="32"/>
          <w:szCs w:val="32"/>
          <w:highlight w:val="none"/>
        </w:rPr>
        <w:t>分、60%以下加</w:t>
      </w:r>
      <w:r>
        <w:rPr>
          <w:rFonts w:hint="eastAsia" w:ascii="仿宋" w:hAnsi="仿宋" w:eastAsia="仿宋" w:cs="仿宋"/>
          <w:b w:val="0"/>
          <w:bCs/>
          <w:color w:val="000000"/>
          <w:sz w:val="32"/>
          <w:szCs w:val="32"/>
          <w:highlight w:val="none"/>
          <w:lang w:val="en-US" w:eastAsia="zh-CN"/>
        </w:rPr>
        <w:t>1</w:t>
      </w:r>
      <w:r>
        <w:rPr>
          <w:rFonts w:hint="eastAsia" w:ascii="仿宋" w:hAnsi="仿宋" w:eastAsia="仿宋" w:cs="仿宋"/>
          <w:b w:val="0"/>
          <w:bCs/>
          <w:color w:val="000000"/>
          <w:sz w:val="32"/>
          <w:szCs w:val="32"/>
          <w:highlight w:val="none"/>
        </w:rPr>
        <w:t>分，</w:t>
      </w:r>
      <w:r>
        <w:rPr>
          <w:rFonts w:hint="eastAsia" w:ascii="仿宋" w:hAnsi="仿宋" w:eastAsia="仿宋"/>
          <w:b w:val="0"/>
          <w:bCs/>
          <w:color w:val="000000"/>
          <w:sz w:val="32"/>
          <w:szCs w:val="32"/>
          <w:highlight w:val="none"/>
        </w:rPr>
        <w:t>此项最高加</w:t>
      </w:r>
      <w:r>
        <w:rPr>
          <w:rFonts w:hint="eastAsia" w:ascii="仿宋" w:hAnsi="仿宋" w:eastAsia="仿宋"/>
          <w:b w:val="0"/>
          <w:bCs/>
          <w:color w:val="000000"/>
          <w:sz w:val="32"/>
          <w:szCs w:val="32"/>
          <w:highlight w:val="none"/>
          <w:lang w:val="en-US" w:eastAsia="zh-CN"/>
        </w:rPr>
        <w:t>8</w:t>
      </w:r>
      <w:r>
        <w:rPr>
          <w:rFonts w:hint="eastAsia" w:ascii="仿宋" w:hAnsi="仿宋" w:eastAsia="仿宋"/>
          <w:b w:val="0"/>
          <w:bCs/>
          <w:color w:val="000000"/>
          <w:sz w:val="32"/>
          <w:szCs w:val="32"/>
          <w:highlight w:val="none"/>
        </w:rPr>
        <w:t>分。</w:t>
      </w:r>
      <w:r>
        <w:rPr>
          <w:rFonts w:hint="eastAsia" w:ascii="仿宋" w:hAnsi="仿宋" w:eastAsia="仿宋" w:cs="仿宋"/>
          <w:b w:val="0"/>
          <w:bCs/>
          <w:color w:val="000000"/>
          <w:sz w:val="32"/>
          <w:szCs w:val="32"/>
          <w:highlight w:val="none"/>
        </w:rPr>
        <w:t>）</w:t>
      </w:r>
    </w:p>
    <w:p w14:paraId="42DD7873">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7.获得社会认可的艺术水平等级证书；（如拉丁舞、钢琴等专业）（</w:t>
      </w:r>
      <w:r>
        <w:rPr>
          <w:rFonts w:hint="eastAsia" w:ascii="仿宋" w:hAnsi="仿宋" w:eastAsia="仿宋" w:cs="仿宋"/>
          <w:b w:val="0"/>
          <w:bCs/>
          <w:color w:val="000000"/>
          <w:sz w:val="32"/>
          <w:szCs w:val="32"/>
          <w:highlight w:val="none"/>
          <w:lang w:val="en-US" w:eastAsia="zh-CN"/>
        </w:rPr>
        <w:t>2</w:t>
      </w:r>
      <w:r>
        <w:rPr>
          <w:rFonts w:hint="eastAsia" w:ascii="仿宋" w:hAnsi="仿宋" w:eastAsia="仿宋" w:cs="仿宋"/>
          <w:b w:val="0"/>
          <w:bCs/>
          <w:color w:val="000000"/>
          <w:sz w:val="32"/>
          <w:szCs w:val="32"/>
          <w:highlight w:val="none"/>
        </w:rPr>
        <w:t>分/项）</w:t>
      </w:r>
    </w:p>
    <w:p w14:paraId="3086E452">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（二）艺术竞赛与成果（15分）</w:t>
      </w:r>
    </w:p>
    <w:p w14:paraId="18648671">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hint="eastAsia" w:ascii="仿宋" w:hAnsi="仿宋" w:eastAsia="仿宋" w:cs="仿宋"/>
          <w:b w:val="0"/>
          <w:bCs/>
          <w:color w:val="000000"/>
          <w:sz w:val="32"/>
          <w:szCs w:val="32"/>
          <w:highlight w:val="none"/>
          <w:lang w:eastAsia="zh-CN"/>
        </w:rPr>
      </w:pPr>
      <w:r>
        <w:rPr>
          <w:rFonts w:hint="eastAsia" w:ascii="仿宋" w:hAnsi="仿宋" w:eastAsia="仿宋" w:cs="仿宋"/>
          <w:b w:val="0"/>
          <w:bCs/>
          <w:color w:val="000000"/>
          <w:sz w:val="32"/>
          <w:szCs w:val="32"/>
          <w:highlight w:val="none"/>
        </w:rPr>
        <w:t>1.在各级艺术、文化类竞赛（如歌唱、舞蹈、朗诵、书画、话剧</w:t>
      </w:r>
      <w:r>
        <w:rPr>
          <w:rFonts w:hint="eastAsia" w:ascii="仿宋" w:hAnsi="仿宋" w:eastAsia="仿宋" w:cs="仿宋"/>
          <w:b w:val="0"/>
          <w:bCs/>
          <w:color w:val="000000"/>
          <w:sz w:val="32"/>
          <w:szCs w:val="32"/>
          <w:highlight w:val="none"/>
          <w:lang w:eastAsia="zh-CN"/>
        </w:rPr>
        <w:t>、</w:t>
      </w:r>
      <w:r>
        <w:rPr>
          <w:rFonts w:hint="eastAsia" w:ascii="仿宋" w:hAnsi="仿宋" w:eastAsia="仿宋" w:cs="仿宋"/>
          <w:b w:val="0"/>
          <w:bCs/>
          <w:color w:val="000000"/>
          <w:sz w:val="32"/>
          <w:szCs w:val="32"/>
          <w:highlight w:val="none"/>
        </w:rPr>
        <w:t>篆刻等</w:t>
      </w:r>
      <w:r>
        <w:rPr>
          <w:rFonts w:hint="eastAsia" w:ascii="仿宋" w:hAnsi="仿宋" w:eastAsia="仿宋" w:cs="仿宋"/>
          <w:b w:val="0"/>
          <w:bCs/>
          <w:color w:val="000000"/>
          <w:sz w:val="32"/>
          <w:szCs w:val="32"/>
          <w:highlight w:val="none"/>
          <w:lang w:val="en-US" w:eastAsia="zh-CN"/>
        </w:rPr>
        <w:t>方面</w:t>
      </w:r>
      <w:r>
        <w:rPr>
          <w:rFonts w:hint="eastAsia" w:ascii="仿宋" w:hAnsi="仿宋" w:eastAsia="仿宋" w:cs="仿宋"/>
          <w:b w:val="0"/>
          <w:bCs/>
          <w:color w:val="000000"/>
          <w:sz w:val="32"/>
          <w:szCs w:val="32"/>
          <w:highlight w:val="none"/>
        </w:rPr>
        <w:t>）中获奖</w:t>
      </w:r>
      <w:r>
        <w:rPr>
          <w:rFonts w:hint="eastAsia" w:ascii="仿宋" w:hAnsi="仿宋" w:eastAsia="仿宋" w:cs="仿宋"/>
          <w:b w:val="0"/>
          <w:bCs/>
          <w:color w:val="000000"/>
          <w:sz w:val="32"/>
          <w:szCs w:val="32"/>
          <w:highlight w:val="none"/>
          <w:lang w:eastAsia="zh-CN"/>
        </w:rPr>
        <w:t>；</w:t>
      </w:r>
    </w:p>
    <w:tbl>
      <w:tblPr>
        <w:tblStyle w:val="7"/>
        <w:tblW w:w="5000" w:type="pct"/>
        <w:tblInd w:w="0" w:type="dxa"/>
        <w:tblLayout w:type="autofit"/>
        <w:tblCellMar>
          <w:top w:w="0" w:type="dxa"/>
          <w:left w:w="108" w:type="dxa"/>
          <w:bottom w:w="0" w:type="dxa"/>
          <w:right w:w="108" w:type="dxa"/>
        </w:tblCellMar>
      </w:tblPr>
      <w:tblGrid>
        <w:gridCol w:w="1177"/>
        <w:gridCol w:w="1181"/>
        <w:gridCol w:w="1482"/>
        <w:gridCol w:w="1482"/>
        <w:gridCol w:w="1483"/>
        <w:gridCol w:w="2137"/>
      </w:tblGrid>
      <w:tr w14:paraId="2DF53F91">
        <w:tblPrEx>
          <w:tblCellMar>
            <w:top w:w="0" w:type="dxa"/>
            <w:left w:w="108" w:type="dxa"/>
            <w:bottom w:w="0" w:type="dxa"/>
            <w:right w:w="108" w:type="dxa"/>
          </w:tblCellMar>
        </w:tblPrEx>
        <w:trPr>
          <w:trHeight w:val="170" w:hRule="atLeast"/>
        </w:trPr>
        <w:tc>
          <w:tcPr>
            <w:tcW w:w="658" w:type="pct"/>
            <w:tcBorders>
              <w:top w:val="single" w:color="000000" w:sz="4" w:space="0"/>
              <w:left w:val="single" w:color="000000" w:sz="4" w:space="0"/>
              <w:bottom w:val="nil"/>
              <w:right w:val="nil"/>
            </w:tcBorders>
            <w:noWrap/>
            <w:vAlign w:val="center"/>
          </w:tcPr>
          <w:p w14:paraId="10284CB8">
            <w:pPr>
              <w:keepNext w:val="0"/>
              <w:keepLines w:val="0"/>
              <w:pageBreakBefore w:val="0"/>
              <w:widowControl/>
              <w:kinsoku/>
              <w:wordWrap/>
              <w:overflowPunct/>
              <w:topLinePunct w:val="0"/>
              <w:autoSpaceDE/>
              <w:autoSpaceDN/>
              <w:bidi w:val="0"/>
              <w:adjustRightInd/>
              <w:snapToGrid/>
              <w:spacing w:line="560" w:lineRule="exact"/>
              <w:ind w:firstLine="440"/>
              <w:jc w:val="center"/>
              <w:textAlignment w:val="center"/>
              <w:rPr>
                <w:rFonts w:ascii="仿宋" w:hAnsi="仿宋" w:eastAsia="仿宋" w:cs="宋体"/>
                <w:b w:val="0"/>
                <w:bCs/>
                <w:color w:val="000000"/>
                <w:kern w:val="2"/>
                <w:sz w:val="32"/>
                <w:szCs w:val="32"/>
                <w:highlight w:val="none"/>
              </w:rPr>
            </w:pPr>
            <w:r>
              <w:rPr>
                <w:rFonts w:hint="eastAsia" w:ascii="仿宋" w:hAnsi="仿宋" w:eastAsia="仿宋" w:cs="宋体"/>
                <w:b w:val="0"/>
                <w:bCs/>
                <w:color w:val="000000"/>
                <w:sz w:val="32"/>
                <w:szCs w:val="32"/>
                <w:highlight w:val="none"/>
                <w:bdr w:val="single" w:color="000000" w:sz="4" w:space="0"/>
              </w:rPr>
              <w:drawing>
                <wp:anchor distT="0" distB="0" distL="114300" distR="114300" simplePos="0" relativeHeight="251672576" behindDoc="0" locked="0" layoutInCell="1" allowOverlap="1">
                  <wp:simplePos x="0" y="0"/>
                  <wp:positionH relativeFrom="column">
                    <wp:posOffset>-28575</wp:posOffset>
                  </wp:positionH>
                  <wp:positionV relativeFrom="paragraph">
                    <wp:posOffset>-2540</wp:posOffset>
                  </wp:positionV>
                  <wp:extent cx="1440180" cy="532765"/>
                  <wp:effectExtent l="0" t="0" r="7620" b="635"/>
                  <wp:wrapNone/>
                  <wp:docPr id="15" name="直接连接符_1"/>
                  <wp:cNvGraphicFramePr/>
                  <a:graphic xmlns:a="http://schemas.openxmlformats.org/drawingml/2006/main">
                    <a:graphicData uri="http://schemas.openxmlformats.org/drawingml/2006/picture">
                      <pic:pic xmlns:pic="http://schemas.openxmlformats.org/drawingml/2006/picture">
                        <pic:nvPicPr>
                          <pic:cNvPr id="15" name="直接连接符_1"/>
                          <pic:cNvPicPr/>
                        </pic:nvPicPr>
                        <pic:blipFill>
                          <a:blip r:embed="rId6"/>
                          <a:stretch>
                            <a:fillRect/>
                          </a:stretch>
                        </pic:blipFill>
                        <pic:spPr>
                          <a:xfrm>
                            <a:off x="0" y="0"/>
                            <a:ext cx="1440180" cy="532765"/>
                          </a:xfrm>
                          <a:prstGeom prst="rect">
                            <a:avLst/>
                          </a:prstGeom>
                          <a:noFill/>
                          <a:ln>
                            <a:noFill/>
                          </a:ln>
                        </pic:spPr>
                      </pic:pic>
                    </a:graphicData>
                  </a:graphic>
                </wp:anchor>
              </w:drawing>
            </w:r>
            <w:r>
              <w:rPr>
                <w:rFonts w:hint="eastAsia" w:ascii="仿宋" w:hAnsi="仿宋" w:eastAsia="仿宋" w:cs="Times New Roman"/>
                <w:b w:val="0"/>
                <w:bCs/>
                <w:kern w:val="2"/>
                <w:sz w:val="32"/>
                <w:szCs w:val="32"/>
                <w:highlight w:val="none"/>
                <w:bdr w:val="single" w:color="000000" w:sz="4" w:space="0"/>
              </w:rPr>
              <w:drawing>
                <wp:anchor distT="0" distB="0" distL="114300" distR="114300" simplePos="0" relativeHeight="251671552" behindDoc="0" locked="0" layoutInCell="1" allowOverlap="1">
                  <wp:simplePos x="0" y="0"/>
                  <wp:positionH relativeFrom="column">
                    <wp:posOffset>-76200</wp:posOffset>
                  </wp:positionH>
                  <wp:positionV relativeFrom="paragraph">
                    <wp:posOffset>-1270</wp:posOffset>
                  </wp:positionV>
                  <wp:extent cx="999490" cy="744855"/>
                  <wp:effectExtent l="0" t="0" r="10160" b="17145"/>
                  <wp:wrapNone/>
                  <wp:docPr id="14" name="直接连接符_2"/>
                  <wp:cNvGraphicFramePr/>
                  <a:graphic xmlns:a="http://schemas.openxmlformats.org/drawingml/2006/main">
                    <a:graphicData uri="http://schemas.openxmlformats.org/drawingml/2006/picture">
                      <pic:pic xmlns:pic="http://schemas.openxmlformats.org/drawingml/2006/picture">
                        <pic:nvPicPr>
                          <pic:cNvPr id="14" name="直接连接符_2"/>
                          <pic:cNvPicPr/>
                        </pic:nvPicPr>
                        <pic:blipFill>
                          <a:blip r:embed="rId7"/>
                          <a:stretch>
                            <a:fillRect/>
                          </a:stretch>
                        </pic:blipFill>
                        <pic:spPr>
                          <a:xfrm>
                            <a:off x="0" y="0"/>
                            <a:ext cx="999490" cy="744855"/>
                          </a:xfrm>
                          <a:prstGeom prst="rect">
                            <a:avLst/>
                          </a:prstGeom>
                          <a:noFill/>
                          <a:ln>
                            <a:noFill/>
                          </a:ln>
                        </pic:spPr>
                      </pic:pic>
                    </a:graphicData>
                  </a:graphic>
                </wp:anchor>
              </w:drawing>
            </w:r>
          </w:p>
        </w:tc>
        <w:tc>
          <w:tcPr>
            <w:tcW w:w="660" w:type="pct"/>
            <w:tcBorders>
              <w:top w:val="single" w:color="000000" w:sz="4" w:space="0"/>
              <w:left w:val="nil"/>
              <w:bottom w:val="nil"/>
              <w:right w:val="single" w:color="000000" w:sz="4" w:space="0"/>
            </w:tcBorders>
            <w:noWrap/>
            <w:vAlign w:val="center"/>
          </w:tcPr>
          <w:p w14:paraId="2E21BCD1">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仿宋" w:hAnsi="仿宋" w:eastAsia="仿宋" w:cs="宋体"/>
                <w:b w:val="0"/>
                <w:bCs/>
                <w:color w:val="000000"/>
                <w:kern w:val="2"/>
                <w:sz w:val="32"/>
                <w:szCs w:val="32"/>
                <w:highlight w:val="none"/>
              </w:rPr>
            </w:pPr>
            <w:r>
              <w:rPr>
                <w:rFonts w:hint="eastAsia" w:ascii="仿宋" w:hAnsi="仿宋" w:eastAsia="仿宋" w:cs="仿宋"/>
                <w:b w:val="0"/>
                <w:bCs/>
                <w:color w:val="000000"/>
                <w:sz w:val="32"/>
                <w:szCs w:val="32"/>
                <w:highlight w:val="none"/>
                <w:lang w:bidi="ar"/>
              </w:rPr>
              <w:t>名次</w:t>
            </w:r>
          </w:p>
        </w:tc>
        <w:tc>
          <w:tcPr>
            <w:tcW w:w="828" w:type="pct"/>
            <w:vMerge w:val="restart"/>
            <w:tcBorders>
              <w:top w:val="single" w:color="000000" w:sz="4" w:space="0"/>
              <w:left w:val="single" w:color="000000" w:sz="4" w:space="0"/>
              <w:bottom w:val="single" w:color="000000" w:sz="4" w:space="0"/>
              <w:right w:val="single" w:color="000000" w:sz="4" w:space="0"/>
            </w:tcBorders>
            <w:noWrap/>
            <w:vAlign w:val="center"/>
          </w:tcPr>
          <w:p w14:paraId="08790505">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第一名</w:t>
            </w:r>
          </w:p>
        </w:tc>
        <w:tc>
          <w:tcPr>
            <w:tcW w:w="828" w:type="pct"/>
            <w:vMerge w:val="restart"/>
            <w:tcBorders>
              <w:top w:val="single" w:color="000000" w:sz="4" w:space="0"/>
              <w:left w:val="single" w:color="000000" w:sz="4" w:space="0"/>
              <w:bottom w:val="single" w:color="000000" w:sz="4" w:space="0"/>
              <w:right w:val="single" w:color="000000" w:sz="4" w:space="0"/>
            </w:tcBorders>
            <w:noWrap/>
            <w:vAlign w:val="center"/>
          </w:tcPr>
          <w:p w14:paraId="1DDBB877">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第二名</w:t>
            </w:r>
          </w:p>
        </w:tc>
        <w:tc>
          <w:tcPr>
            <w:tcW w:w="829" w:type="pct"/>
            <w:vMerge w:val="restart"/>
            <w:tcBorders>
              <w:top w:val="single" w:color="000000" w:sz="4" w:space="0"/>
              <w:left w:val="single" w:color="000000" w:sz="4" w:space="0"/>
              <w:bottom w:val="single" w:color="000000" w:sz="4" w:space="0"/>
              <w:right w:val="single" w:color="000000" w:sz="4" w:space="0"/>
            </w:tcBorders>
            <w:noWrap/>
            <w:vAlign w:val="center"/>
          </w:tcPr>
          <w:p w14:paraId="11C6DEC9">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第三名</w:t>
            </w:r>
          </w:p>
        </w:tc>
        <w:tc>
          <w:tcPr>
            <w:tcW w:w="1194" w:type="pct"/>
            <w:vMerge w:val="restart"/>
            <w:tcBorders>
              <w:top w:val="single" w:color="000000" w:sz="4" w:space="0"/>
              <w:left w:val="single" w:color="000000" w:sz="4" w:space="0"/>
              <w:bottom w:val="single" w:color="000000" w:sz="4" w:space="0"/>
              <w:right w:val="single" w:color="000000" w:sz="4" w:space="0"/>
            </w:tcBorders>
            <w:noWrap/>
            <w:vAlign w:val="center"/>
          </w:tcPr>
          <w:p w14:paraId="68644EC8">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第四</w:t>
            </w:r>
            <w:r>
              <w:rPr>
                <w:rFonts w:hint="eastAsia" w:ascii="仿宋" w:hAnsi="仿宋" w:eastAsia="仿宋" w:cs="Times New Roman"/>
                <w:b w:val="0"/>
                <w:bCs/>
                <w:kern w:val="2"/>
                <w:sz w:val="32"/>
                <w:szCs w:val="32"/>
                <w:highlight w:val="none"/>
                <w:lang w:val="en-US" w:eastAsia="zh-CN"/>
              </w:rPr>
              <w:t>名</w:t>
            </w:r>
            <w:r>
              <w:rPr>
                <w:rFonts w:hint="eastAsia" w:ascii="仿宋" w:hAnsi="仿宋" w:eastAsia="仿宋" w:cs="Times New Roman"/>
                <w:b w:val="0"/>
                <w:bCs/>
                <w:kern w:val="2"/>
                <w:sz w:val="32"/>
                <w:szCs w:val="32"/>
                <w:highlight w:val="none"/>
              </w:rPr>
              <w:t>及以后</w:t>
            </w:r>
          </w:p>
        </w:tc>
      </w:tr>
      <w:tr w14:paraId="1E2F056B">
        <w:tblPrEx>
          <w:tblCellMar>
            <w:top w:w="0" w:type="dxa"/>
            <w:left w:w="108" w:type="dxa"/>
            <w:bottom w:w="0" w:type="dxa"/>
            <w:right w:w="108" w:type="dxa"/>
          </w:tblCellMar>
        </w:tblPrEx>
        <w:trPr>
          <w:trHeight w:val="170" w:hRule="atLeast"/>
        </w:trPr>
        <w:tc>
          <w:tcPr>
            <w:tcW w:w="658" w:type="pct"/>
            <w:tcBorders>
              <w:top w:val="nil"/>
              <w:left w:val="single" w:color="000000" w:sz="4" w:space="0"/>
              <w:bottom w:val="nil"/>
              <w:right w:val="nil"/>
            </w:tcBorders>
            <w:noWrap/>
            <w:vAlign w:val="center"/>
          </w:tcPr>
          <w:p w14:paraId="5857C43E">
            <w:pPr>
              <w:keepNext w:val="0"/>
              <w:keepLines w:val="0"/>
              <w:pageBreakBefore w:val="0"/>
              <w:widowControl/>
              <w:kinsoku/>
              <w:wordWrap/>
              <w:overflowPunct/>
              <w:topLinePunct w:val="0"/>
              <w:autoSpaceDE/>
              <w:autoSpaceDN/>
              <w:bidi w:val="0"/>
              <w:adjustRightInd/>
              <w:snapToGrid/>
              <w:spacing w:line="560" w:lineRule="exact"/>
              <w:ind w:firstLine="160" w:firstLineChars="50"/>
              <w:jc w:val="center"/>
              <w:textAlignment w:val="center"/>
              <w:rPr>
                <w:rFonts w:hint="eastAsia" w:ascii="仿宋" w:hAnsi="仿宋" w:eastAsia="仿宋" w:cs="宋体"/>
                <w:b w:val="0"/>
                <w:bCs/>
                <w:color w:val="000000"/>
                <w:kern w:val="2"/>
                <w:sz w:val="32"/>
                <w:szCs w:val="32"/>
                <w:highlight w:val="none"/>
                <w:lang w:val="en-US" w:eastAsia="zh-CN"/>
              </w:rPr>
            </w:pPr>
            <w:r>
              <w:rPr>
                <w:rFonts w:hint="eastAsia" w:ascii="仿宋" w:hAnsi="仿宋" w:eastAsia="仿宋" w:cs="仿宋"/>
                <w:b w:val="0"/>
                <w:bCs/>
                <w:color w:val="000000"/>
                <w:sz w:val="32"/>
                <w:szCs w:val="32"/>
                <w:highlight w:val="none"/>
                <w:lang w:bidi="ar"/>
              </w:rPr>
              <w:t>级</w:t>
            </w:r>
            <w:r>
              <w:rPr>
                <w:rFonts w:hint="eastAsia" w:ascii="仿宋" w:hAnsi="仿宋" w:eastAsia="仿宋" w:cs="仿宋"/>
                <w:b w:val="0"/>
                <w:bCs/>
                <w:color w:val="000000"/>
                <w:sz w:val="32"/>
                <w:szCs w:val="32"/>
                <w:highlight w:val="none"/>
                <w:lang w:val="en-US" w:eastAsia="zh-CN" w:bidi="ar"/>
              </w:rPr>
              <w:t>别</w:t>
            </w:r>
          </w:p>
        </w:tc>
        <w:tc>
          <w:tcPr>
            <w:tcW w:w="660" w:type="pct"/>
            <w:tcBorders>
              <w:top w:val="nil"/>
              <w:left w:val="nil"/>
              <w:bottom w:val="nil"/>
              <w:right w:val="single" w:color="000000" w:sz="4" w:space="0"/>
            </w:tcBorders>
            <w:noWrap/>
            <w:vAlign w:val="center"/>
          </w:tcPr>
          <w:p w14:paraId="162401A5">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宋体"/>
                <w:b w:val="0"/>
                <w:bCs/>
                <w:color w:val="000000"/>
                <w:kern w:val="2"/>
                <w:sz w:val="32"/>
                <w:szCs w:val="32"/>
                <w:highlight w:val="none"/>
                <w:lang w:val="en-US" w:eastAsia="zh-CN"/>
              </w:rPr>
            </w:pPr>
            <w:r>
              <w:rPr>
                <w:rFonts w:hint="eastAsia" w:ascii="仿宋" w:hAnsi="仿宋" w:eastAsia="仿宋" w:cs="仿宋"/>
                <w:b w:val="0"/>
                <w:bCs/>
                <w:color w:val="000000"/>
                <w:sz w:val="32"/>
                <w:szCs w:val="32"/>
                <w:highlight w:val="none"/>
                <w:lang w:bidi="ar"/>
              </w:rPr>
              <w:t>评</w:t>
            </w:r>
            <w:r>
              <w:rPr>
                <w:rFonts w:hint="eastAsia" w:ascii="仿宋" w:hAnsi="仿宋" w:eastAsia="仿宋" w:cs="仿宋"/>
                <w:b w:val="0"/>
                <w:bCs/>
                <w:color w:val="000000"/>
                <w:sz w:val="32"/>
                <w:szCs w:val="32"/>
                <w:highlight w:val="none"/>
                <w:lang w:val="en-US" w:eastAsia="zh-CN" w:bidi="ar"/>
              </w:rPr>
              <w:t>分</w:t>
            </w:r>
          </w:p>
        </w:tc>
        <w:tc>
          <w:tcPr>
            <w:tcW w:w="828" w:type="pct"/>
            <w:vMerge w:val="continue"/>
            <w:tcBorders>
              <w:top w:val="single" w:color="000000" w:sz="4" w:space="0"/>
              <w:left w:val="single" w:color="000000" w:sz="4" w:space="0"/>
              <w:bottom w:val="single" w:color="000000" w:sz="4" w:space="0"/>
              <w:right w:val="single" w:color="000000" w:sz="4" w:space="0"/>
            </w:tcBorders>
            <w:noWrap/>
            <w:vAlign w:val="center"/>
          </w:tcPr>
          <w:p w14:paraId="5D1FC840">
            <w:pPr>
              <w:keepNext w:val="0"/>
              <w:keepLines w:val="0"/>
              <w:pageBreakBefore w:val="0"/>
              <w:overflowPunct/>
              <w:topLinePunct w:val="0"/>
              <w:bidi w:val="0"/>
              <w:spacing w:after="120" w:line="560" w:lineRule="exact"/>
              <w:ind w:firstLine="560"/>
              <w:jc w:val="center"/>
              <w:rPr>
                <w:rFonts w:ascii="仿宋" w:hAnsi="仿宋" w:eastAsia="仿宋" w:cs="Times New Roman"/>
                <w:b w:val="0"/>
                <w:bCs/>
                <w:kern w:val="2"/>
                <w:sz w:val="32"/>
                <w:szCs w:val="32"/>
                <w:highlight w:val="none"/>
              </w:rPr>
            </w:pPr>
          </w:p>
        </w:tc>
        <w:tc>
          <w:tcPr>
            <w:tcW w:w="828" w:type="pct"/>
            <w:vMerge w:val="continue"/>
            <w:tcBorders>
              <w:top w:val="single" w:color="000000" w:sz="4" w:space="0"/>
              <w:left w:val="single" w:color="000000" w:sz="4" w:space="0"/>
              <w:bottom w:val="single" w:color="000000" w:sz="4" w:space="0"/>
              <w:right w:val="single" w:color="000000" w:sz="4" w:space="0"/>
            </w:tcBorders>
            <w:noWrap/>
            <w:vAlign w:val="center"/>
          </w:tcPr>
          <w:p w14:paraId="4F38F9AD">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p>
        </w:tc>
        <w:tc>
          <w:tcPr>
            <w:tcW w:w="829" w:type="pct"/>
            <w:vMerge w:val="continue"/>
            <w:tcBorders>
              <w:top w:val="single" w:color="000000" w:sz="4" w:space="0"/>
              <w:left w:val="single" w:color="000000" w:sz="4" w:space="0"/>
              <w:bottom w:val="single" w:color="000000" w:sz="4" w:space="0"/>
              <w:right w:val="single" w:color="000000" w:sz="4" w:space="0"/>
            </w:tcBorders>
            <w:noWrap/>
            <w:vAlign w:val="center"/>
          </w:tcPr>
          <w:p w14:paraId="7287D5AB">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p>
        </w:tc>
        <w:tc>
          <w:tcPr>
            <w:tcW w:w="1194" w:type="pct"/>
            <w:vMerge w:val="continue"/>
            <w:tcBorders>
              <w:top w:val="single" w:color="000000" w:sz="4" w:space="0"/>
              <w:left w:val="single" w:color="000000" w:sz="4" w:space="0"/>
              <w:bottom w:val="single" w:color="000000" w:sz="4" w:space="0"/>
              <w:right w:val="single" w:color="000000" w:sz="4" w:space="0"/>
            </w:tcBorders>
            <w:noWrap/>
            <w:vAlign w:val="center"/>
          </w:tcPr>
          <w:p w14:paraId="64AAED09">
            <w:pPr>
              <w:keepNext w:val="0"/>
              <w:keepLines w:val="0"/>
              <w:pageBreakBefore w:val="0"/>
              <w:overflowPunct/>
              <w:topLinePunct w:val="0"/>
              <w:bidi w:val="0"/>
              <w:spacing w:after="120" w:line="560" w:lineRule="exact"/>
              <w:jc w:val="center"/>
              <w:rPr>
                <w:rFonts w:ascii="仿宋" w:hAnsi="仿宋" w:eastAsia="仿宋" w:cs="Times New Roman"/>
                <w:b w:val="0"/>
                <w:bCs/>
                <w:kern w:val="2"/>
                <w:sz w:val="32"/>
                <w:szCs w:val="32"/>
                <w:highlight w:val="none"/>
              </w:rPr>
            </w:pPr>
          </w:p>
        </w:tc>
      </w:tr>
      <w:tr w14:paraId="7DC206F2">
        <w:tblPrEx>
          <w:tblCellMar>
            <w:top w:w="0" w:type="dxa"/>
            <w:left w:w="108" w:type="dxa"/>
            <w:bottom w:w="0" w:type="dxa"/>
            <w:right w:w="108" w:type="dxa"/>
          </w:tblCellMar>
        </w:tblPrEx>
        <w:trPr>
          <w:trHeight w:val="624" w:hRule="atLeast"/>
        </w:trPr>
        <w:tc>
          <w:tcPr>
            <w:tcW w:w="1318" w:type="pct"/>
            <w:gridSpan w:val="2"/>
            <w:tcBorders>
              <w:top w:val="single" w:color="000000" w:sz="4" w:space="0"/>
              <w:left w:val="single" w:color="000000" w:sz="4" w:space="0"/>
              <w:bottom w:val="single" w:color="000000" w:sz="4" w:space="0"/>
              <w:right w:val="single" w:color="000000" w:sz="4" w:space="0"/>
            </w:tcBorders>
            <w:noWrap/>
            <w:vAlign w:val="center"/>
          </w:tcPr>
          <w:p w14:paraId="633EF52F">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国家级</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6C4B57C">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w:t>
            </w:r>
            <w:r>
              <w:rPr>
                <w:rFonts w:hint="eastAsia" w:ascii="仿宋" w:hAnsi="仿宋" w:eastAsia="仿宋"/>
                <w:b w:val="0"/>
                <w:bCs/>
                <w:sz w:val="32"/>
                <w:szCs w:val="32"/>
                <w:highlight w:val="none"/>
              </w:rPr>
              <w:t>5</w:t>
            </w:r>
            <w:r>
              <w:rPr>
                <w:rFonts w:ascii="仿宋" w:hAnsi="仿宋" w:eastAsia="仿宋"/>
                <w:b w:val="0"/>
                <w:bCs/>
                <w:sz w:val="32"/>
                <w:szCs w:val="32"/>
                <w:highlight w:val="none"/>
              </w:rPr>
              <w:t>.0</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81C382B">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14.0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32B3E771">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13.0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597AAAFA">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12.0</w:t>
            </w:r>
          </w:p>
        </w:tc>
      </w:tr>
      <w:tr w14:paraId="17F816F7">
        <w:tblPrEx>
          <w:tblCellMar>
            <w:top w:w="0" w:type="dxa"/>
            <w:left w:w="108" w:type="dxa"/>
            <w:bottom w:w="0" w:type="dxa"/>
            <w:right w:w="108" w:type="dxa"/>
          </w:tblCellMar>
        </w:tblPrEx>
        <w:trPr>
          <w:trHeight w:val="624" w:hRule="atLeast"/>
        </w:trPr>
        <w:tc>
          <w:tcPr>
            <w:tcW w:w="1318" w:type="pct"/>
            <w:gridSpan w:val="2"/>
            <w:tcBorders>
              <w:top w:val="single" w:color="000000" w:sz="4" w:space="0"/>
              <w:left w:val="single" w:color="000000" w:sz="4" w:space="0"/>
              <w:bottom w:val="single" w:color="000000" w:sz="4" w:space="0"/>
              <w:right w:val="single" w:color="000000" w:sz="4" w:space="0"/>
            </w:tcBorders>
            <w:noWrap/>
            <w:vAlign w:val="center"/>
          </w:tcPr>
          <w:p w14:paraId="20B299C7">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省部级</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4863408C">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11.5</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1551D5B5">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10.5</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53B77FAF">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9.5</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592575E2">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8.5</w:t>
            </w:r>
          </w:p>
        </w:tc>
      </w:tr>
      <w:tr w14:paraId="4B5A23FF">
        <w:tblPrEx>
          <w:tblCellMar>
            <w:top w:w="0" w:type="dxa"/>
            <w:left w:w="108" w:type="dxa"/>
            <w:bottom w:w="0" w:type="dxa"/>
            <w:right w:w="108" w:type="dxa"/>
          </w:tblCellMar>
        </w:tblPrEx>
        <w:trPr>
          <w:trHeight w:val="624" w:hRule="atLeast"/>
        </w:trPr>
        <w:tc>
          <w:tcPr>
            <w:tcW w:w="1318" w:type="pct"/>
            <w:gridSpan w:val="2"/>
            <w:tcBorders>
              <w:top w:val="single" w:color="000000" w:sz="4" w:space="0"/>
              <w:left w:val="single" w:color="000000" w:sz="4" w:space="0"/>
              <w:bottom w:val="single" w:color="000000" w:sz="4" w:space="0"/>
              <w:right w:val="single" w:color="000000" w:sz="4" w:space="0"/>
            </w:tcBorders>
            <w:noWrap/>
            <w:vAlign w:val="center"/>
          </w:tcPr>
          <w:p w14:paraId="3A0D641D">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cs="Times New Roman"/>
                <w:b w:val="0"/>
                <w:bCs/>
                <w:kern w:val="2"/>
                <w:sz w:val="32"/>
                <w:szCs w:val="32"/>
                <w:highlight w:val="none"/>
              </w:rPr>
              <w:t>校级</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566100FF">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8.0</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90D6416">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7.0</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3BCCC2F4">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6.0</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08FC85B9">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ascii="仿宋" w:hAnsi="仿宋" w:eastAsia="仿宋" w:cs="Times New Roman"/>
                <w:b w:val="0"/>
                <w:bCs/>
                <w:kern w:val="2"/>
                <w:sz w:val="32"/>
                <w:szCs w:val="32"/>
                <w:highlight w:val="none"/>
              </w:rPr>
            </w:pPr>
            <w:r>
              <w:rPr>
                <w:rFonts w:hint="eastAsia" w:ascii="仿宋" w:hAnsi="仿宋" w:eastAsia="仿宋"/>
                <w:b w:val="0"/>
                <w:bCs/>
                <w:sz w:val="32"/>
                <w:szCs w:val="32"/>
                <w:highlight w:val="none"/>
                <w:lang w:val="en-US" w:eastAsia="zh-CN"/>
              </w:rPr>
              <w:t>5.0</w:t>
            </w:r>
          </w:p>
        </w:tc>
      </w:tr>
      <w:tr w14:paraId="402E4BFA">
        <w:tblPrEx>
          <w:tblCellMar>
            <w:top w:w="0" w:type="dxa"/>
            <w:left w:w="108" w:type="dxa"/>
            <w:bottom w:w="0" w:type="dxa"/>
            <w:right w:w="108" w:type="dxa"/>
          </w:tblCellMar>
        </w:tblPrEx>
        <w:trPr>
          <w:trHeight w:val="624" w:hRule="atLeast"/>
        </w:trPr>
        <w:tc>
          <w:tcPr>
            <w:tcW w:w="1318" w:type="pct"/>
            <w:gridSpan w:val="2"/>
            <w:tcBorders>
              <w:top w:val="single" w:color="000000" w:sz="4" w:space="0"/>
              <w:left w:val="single" w:color="000000" w:sz="4" w:space="0"/>
              <w:bottom w:val="single" w:color="000000" w:sz="4" w:space="0"/>
              <w:right w:val="single" w:color="000000" w:sz="4" w:space="0"/>
            </w:tcBorders>
            <w:noWrap/>
            <w:vAlign w:val="center"/>
          </w:tcPr>
          <w:p w14:paraId="68666855">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 w:hAnsi="仿宋" w:eastAsia="仿宋" w:cs="Times New Roman"/>
                <w:b w:val="0"/>
                <w:bCs/>
                <w:kern w:val="2"/>
                <w:sz w:val="32"/>
                <w:szCs w:val="32"/>
                <w:highlight w:val="none"/>
                <w:lang w:val="en-US" w:eastAsia="zh-CN"/>
              </w:rPr>
            </w:pPr>
            <w:r>
              <w:rPr>
                <w:rFonts w:hint="eastAsia" w:ascii="仿宋" w:hAnsi="仿宋" w:eastAsia="仿宋" w:cs="Times New Roman"/>
                <w:b w:val="0"/>
                <w:bCs/>
                <w:kern w:val="2"/>
                <w:sz w:val="32"/>
                <w:szCs w:val="32"/>
                <w:highlight w:val="none"/>
                <w:lang w:val="en-US" w:eastAsia="zh-CN"/>
              </w:rPr>
              <w:t>院级</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0F9E8E11">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default"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4.5</w:t>
            </w:r>
          </w:p>
        </w:tc>
        <w:tc>
          <w:tcPr>
            <w:tcW w:w="828" w:type="pct"/>
            <w:tcBorders>
              <w:top w:val="single" w:color="000000" w:sz="4" w:space="0"/>
              <w:left w:val="single" w:color="000000" w:sz="4" w:space="0"/>
              <w:bottom w:val="single" w:color="000000" w:sz="4" w:space="0"/>
              <w:right w:val="single" w:color="000000" w:sz="4" w:space="0"/>
            </w:tcBorders>
            <w:noWrap/>
            <w:vAlign w:val="center"/>
          </w:tcPr>
          <w:p w14:paraId="77B4DBE5">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default"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3.5</w:t>
            </w:r>
          </w:p>
        </w:tc>
        <w:tc>
          <w:tcPr>
            <w:tcW w:w="829" w:type="pct"/>
            <w:tcBorders>
              <w:top w:val="single" w:color="000000" w:sz="4" w:space="0"/>
              <w:left w:val="single" w:color="000000" w:sz="4" w:space="0"/>
              <w:bottom w:val="single" w:color="000000" w:sz="4" w:space="0"/>
              <w:right w:val="single" w:color="000000" w:sz="4" w:space="0"/>
            </w:tcBorders>
            <w:noWrap/>
            <w:vAlign w:val="center"/>
          </w:tcPr>
          <w:p w14:paraId="2151A99F">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default"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2.5</w:t>
            </w:r>
          </w:p>
        </w:tc>
        <w:tc>
          <w:tcPr>
            <w:tcW w:w="1194" w:type="pct"/>
            <w:tcBorders>
              <w:top w:val="single" w:color="000000" w:sz="4" w:space="0"/>
              <w:left w:val="single" w:color="000000" w:sz="4" w:space="0"/>
              <w:bottom w:val="single" w:color="000000" w:sz="4" w:space="0"/>
              <w:right w:val="single" w:color="000000" w:sz="4" w:space="0"/>
            </w:tcBorders>
            <w:noWrap/>
            <w:vAlign w:val="center"/>
          </w:tcPr>
          <w:p w14:paraId="170DBBCD">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default"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1.5</w:t>
            </w:r>
          </w:p>
        </w:tc>
      </w:tr>
    </w:tbl>
    <w:p w14:paraId="2B5F2852">
      <w:pPr>
        <w:pStyle w:val="3"/>
        <w:keepNext w:val="0"/>
        <w:keepLines w:val="0"/>
        <w:pageBreakBefore w:val="0"/>
        <w:widowControl w:val="0"/>
        <w:kinsoku/>
        <w:wordWrap/>
        <w:overflowPunct/>
        <w:topLinePunct w:val="0"/>
        <w:autoSpaceDE/>
        <w:autoSpaceDN/>
        <w:bidi w:val="0"/>
        <w:adjustRightInd/>
        <w:snapToGrid/>
        <w:spacing w:after="120" w:line="560" w:lineRule="exact"/>
        <w:ind w:left="0" w:leftChars="0" w:firstLine="560" w:firstLineChars="200"/>
        <w:textAlignment w:val="auto"/>
        <w:rPr>
          <w:rFonts w:ascii="仿宋" w:hAnsi="仿宋" w:eastAsia="仿宋"/>
          <w:b w:val="0"/>
          <w:bCs/>
          <w:color w:val="000000"/>
          <w:sz w:val="28"/>
          <w:szCs w:val="28"/>
          <w:highlight w:val="none"/>
        </w:rPr>
      </w:pPr>
      <w:r>
        <w:rPr>
          <w:rFonts w:hint="eastAsia" w:ascii="仿宋" w:hAnsi="仿宋" w:eastAsia="仿宋"/>
          <w:b w:val="0"/>
          <w:bCs/>
          <w:color w:val="000000"/>
          <w:sz w:val="28"/>
          <w:szCs w:val="28"/>
          <w:highlight w:val="none"/>
          <w:lang w:val="en-US" w:eastAsia="zh-CN"/>
        </w:rPr>
        <w:t>备注：</w:t>
      </w:r>
      <w:r>
        <w:rPr>
          <w:rFonts w:hint="eastAsia" w:ascii="仿宋" w:hAnsi="仿宋" w:eastAsia="仿宋"/>
          <w:b w:val="0"/>
          <w:bCs/>
          <w:color w:val="000000"/>
          <w:sz w:val="28"/>
          <w:szCs w:val="28"/>
          <w:highlight w:val="none"/>
        </w:rPr>
        <w:t>①比赛若设一、二、三等奖和优秀奖，计分对应值为：一等奖对应第1名的分值，二等奖对应第2名的分值，三等奖对应第3名的分值，优秀奖对应第4名及以后的分值；</w:t>
      </w:r>
    </w:p>
    <w:p w14:paraId="12607CFF">
      <w:pPr>
        <w:pStyle w:val="3"/>
        <w:keepNext w:val="0"/>
        <w:keepLines w:val="0"/>
        <w:pageBreakBefore w:val="0"/>
        <w:overflowPunct/>
        <w:topLinePunct w:val="0"/>
        <w:bidi w:val="0"/>
        <w:spacing w:after="120" w:line="560" w:lineRule="exact"/>
        <w:ind w:left="0" w:leftChars="0" w:firstLine="560" w:firstLineChars="200"/>
        <w:rPr>
          <w:rFonts w:ascii="仿宋" w:hAnsi="仿宋" w:eastAsia="仿宋" w:cs="仿宋"/>
          <w:b w:val="0"/>
          <w:bCs/>
          <w:color w:val="000000"/>
          <w:sz w:val="28"/>
          <w:szCs w:val="28"/>
          <w:highlight w:val="none"/>
        </w:rPr>
      </w:pPr>
      <w:r>
        <w:rPr>
          <w:rFonts w:hint="eastAsia" w:ascii="仿宋" w:hAnsi="仿宋" w:eastAsia="仿宋"/>
          <w:b w:val="0"/>
          <w:bCs/>
          <w:color w:val="000000"/>
          <w:sz w:val="28"/>
          <w:szCs w:val="28"/>
          <w:highlight w:val="none"/>
        </w:rPr>
        <w:t>②获校级精神文明奖、最具创意奖、最具人气奖等加</w:t>
      </w:r>
      <w:r>
        <w:rPr>
          <w:rFonts w:hint="eastAsia" w:ascii="仿宋" w:hAnsi="仿宋" w:eastAsia="仿宋"/>
          <w:b w:val="0"/>
          <w:bCs/>
          <w:color w:val="000000"/>
          <w:sz w:val="28"/>
          <w:szCs w:val="28"/>
          <w:highlight w:val="none"/>
          <w:lang w:val="en-US" w:eastAsia="zh-CN"/>
        </w:rPr>
        <w:t>2</w:t>
      </w:r>
      <w:r>
        <w:rPr>
          <w:rFonts w:hint="eastAsia" w:ascii="仿宋" w:hAnsi="仿宋" w:eastAsia="仿宋"/>
          <w:b w:val="0"/>
          <w:bCs/>
          <w:color w:val="000000"/>
          <w:sz w:val="28"/>
          <w:szCs w:val="28"/>
          <w:highlight w:val="none"/>
        </w:rPr>
        <w:t>分，获院级精神文明奖、最具创意奖、最具人气奖等加</w:t>
      </w:r>
      <w:r>
        <w:rPr>
          <w:rFonts w:hint="eastAsia" w:ascii="仿宋" w:hAnsi="仿宋" w:eastAsia="仿宋"/>
          <w:b w:val="0"/>
          <w:bCs/>
          <w:color w:val="000000"/>
          <w:sz w:val="28"/>
          <w:szCs w:val="28"/>
          <w:highlight w:val="none"/>
          <w:lang w:val="en-US" w:eastAsia="zh-CN"/>
        </w:rPr>
        <w:t>1</w:t>
      </w:r>
      <w:r>
        <w:rPr>
          <w:rFonts w:hint="eastAsia" w:ascii="仿宋" w:hAnsi="仿宋" w:eastAsia="仿宋"/>
          <w:b w:val="0"/>
          <w:bCs/>
          <w:color w:val="000000"/>
          <w:sz w:val="28"/>
          <w:szCs w:val="28"/>
          <w:highlight w:val="none"/>
        </w:rPr>
        <w:t>分。</w:t>
      </w:r>
    </w:p>
    <w:p w14:paraId="6CD1708A">
      <w:pPr>
        <w:keepNext w:val="0"/>
        <w:keepLines w:val="0"/>
        <w:pageBreakBefore w:val="0"/>
        <w:wordWrap w:val="0"/>
        <w:overflowPunct/>
        <w:topLinePunct w:val="0"/>
        <w:autoSpaceDE w:val="0"/>
        <w:autoSpaceDN w:val="0"/>
        <w:bidi w:val="0"/>
        <w:spacing w:after="120" w:line="560" w:lineRule="exact"/>
        <w:ind w:firstLine="640" w:firstLineChars="200"/>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2.在校级及以上刊物或平台发表原创文学、艺术作品；（国家级</w:t>
      </w:r>
      <w:r>
        <w:rPr>
          <w:rFonts w:hint="eastAsia" w:ascii="仿宋" w:hAnsi="仿宋" w:eastAsia="仿宋" w:cs="仿宋"/>
          <w:b w:val="0"/>
          <w:bCs/>
          <w:color w:val="000000"/>
          <w:sz w:val="32"/>
          <w:szCs w:val="32"/>
          <w:highlight w:val="none"/>
          <w:lang w:val="en-US" w:eastAsia="zh-CN"/>
        </w:rPr>
        <w:t>5</w:t>
      </w:r>
      <w:r>
        <w:rPr>
          <w:rFonts w:hint="eastAsia" w:ascii="仿宋" w:hAnsi="仿宋" w:eastAsia="仿宋" w:cs="仿宋"/>
          <w:b w:val="0"/>
          <w:bCs/>
          <w:color w:val="000000"/>
          <w:sz w:val="32"/>
          <w:szCs w:val="32"/>
          <w:highlight w:val="none"/>
        </w:rPr>
        <w:t>分/次，省级</w:t>
      </w:r>
      <w:r>
        <w:rPr>
          <w:rFonts w:hint="eastAsia" w:ascii="仿宋" w:hAnsi="仿宋" w:eastAsia="仿宋" w:cs="仿宋"/>
          <w:b w:val="0"/>
          <w:bCs/>
          <w:color w:val="000000"/>
          <w:sz w:val="32"/>
          <w:szCs w:val="32"/>
          <w:highlight w:val="none"/>
          <w:lang w:val="en-US" w:eastAsia="zh-CN"/>
        </w:rPr>
        <w:t>3</w:t>
      </w:r>
      <w:r>
        <w:rPr>
          <w:rFonts w:hint="eastAsia" w:ascii="仿宋" w:hAnsi="仿宋" w:eastAsia="仿宋" w:cs="仿宋"/>
          <w:b w:val="0"/>
          <w:bCs/>
          <w:color w:val="000000"/>
          <w:sz w:val="32"/>
          <w:szCs w:val="32"/>
          <w:highlight w:val="none"/>
        </w:rPr>
        <w:t>分/次，</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p>
    <w:p w14:paraId="33201614">
      <w:pPr>
        <w:keepNext w:val="0"/>
        <w:keepLines w:val="0"/>
        <w:pageBreakBefore w:val="0"/>
        <w:wordWrap w:val="0"/>
        <w:overflowPunct/>
        <w:topLinePunct w:val="0"/>
        <w:autoSpaceDE w:val="0"/>
        <w:autoSpaceDN w:val="0"/>
        <w:bidi w:val="0"/>
        <w:spacing w:after="120" w:line="560" w:lineRule="exact"/>
        <w:ind w:firstLine="640" w:firstLineChars="200"/>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3.个人或作为主创成员的艺术作品入选校级及以上展览。（国家级</w:t>
      </w:r>
      <w:r>
        <w:rPr>
          <w:rFonts w:hint="eastAsia" w:ascii="仿宋" w:hAnsi="仿宋" w:eastAsia="仿宋" w:cs="仿宋"/>
          <w:b w:val="0"/>
          <w:bCs/>
          <w:color w:val="000000"/>
          <w:sz w:val="32"/>
          <w:szCs w:val="32"/>
          <w:highlight w:val="none"/>
          <w:lang w:val="en-US" w:eastAsia="zh-CN"/>
        </w:rPr>
        <w:t>5</w:t>
      </w:r>
      <w:r>
        <w:rPr>
          <w:rFonts w:hint="eastAsia" w:ascii="仿宋" w:hAnsi="仿宋" w:eastAsia="仿宋" w:cs="仿宋"/>
          <w:b w:val="0"/>
          <w:bCs/>
          <w:color w:val="000000"/>
          <w:sz w:val="32"/>
          <w:szCs w:val="32"/>
          <w:highlight w:val="none"/>
        </w:rPr>
        <w:t>分/次，省级</w:t>
      </w:r>
      <w:r>
        <w:rPr>
          <w:rFonts w:hint="eastAsia" w:ascii="仿宋" w:hAnsi="仿宋" w:eastAsia="仿宋" w:cs="仿宋"/>
          <w:b w:val="0"/>
          <w:bCs/>
          <w:color w:val="000000"/>
          <w:sz w:val="32"/>
          <w:szCs w:val="32"/>
          <w:highlight w:val="none"/>
          <w:lang w:val="en-US" w:eastAsia="zh-CN"/>
        </w:rPr>
        <w:t>3</w:t>
      </w:r>
      <w:r>
        <w:rPr>
          <w:rFonts w:hint="eastAsia" w:ascii="仿宋" w:hAnsi="仿宋" w:eastAsia="仿宋" w:cs="仿宋"/>
          <w:b w:val="0"/>
          <w:bCs/>
          <w:color w:val="000000"/>
          <w:sz w:val="32"/>
          <w:szCs w:val="32"/>
          <w:highlight w:val="none"/>
        </w:rPr>
        <w:t>分/次，</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p>
    <w:p w14:paraId="31D30B05">
      <w:pPr>
        <w:keepNext w:val="0"/>
        <w:keepLines w:val="0"/>
        <w:pageBreakBefore w:val="0"/>
        <w:wordWrap w:val="0"/>
        <w:overflowPunct/>
        <w:topLinePunct w:val="0"/>
        <w:autoSpaceDE w:val="0"/>
        <w:autoSpaceDN w:val="0"/>
        <w:bidi w:val="0"/>
        <w:spacing w:after="120" w:line="560" w:lineRule="exact"/>
        <w:ind w:firstLine="640" w:firstLineChars="200"/>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（三）经学院认定的其他加分项（上限10分）。</w:t>
      </w:r>
    </w:p>
    <w:p w14:paraId="05BD7D14">
      <w:pPr>
        <w:keepNext w:val="0"/>
        <w:keepLines w:val="0"/>
        <w:pageBreakBefore w:val="0"/>
        <w:wordWrap w:val="0"/>
        <w:overflowPunct/>
        <w:topLinePunct w:val="0"/>
        <w:autoSpaceDE w:val="0"/>
        <w:autoSpaceDN w:val="0"/>
        <w:bidi w:val="0"/>
        <w:spacing w:after="120" w:line="560" w:lineRule="exact"/>
        <w:ind w:firstLine="640" w:firstLineChars="200"/>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lang w:val="en-US" w:eastAsia="zh-CN"/>
        </w:rPr>
        <w:t>1.</w:t>
      </w:r>
      <w:r>
        <w:rPr>
          <w:rFonts w:hint="eastAsia" w:ascii="仿宋" w:hAnsi="仿宋" w:eastAsia="仿宋" w:cs="仿宋"/>
          <w:b w:val="0"/>
          <w:bCs/>
          <w:color w:val="000000"/>
          <w:sz w:val="32"/>
          <w:szCs w:val="32"/>
          <w:highlight w:val="none"/>
        </w:rPr>
        <w:t>经学院认定的其他美育类加分项（</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p>
    <w:p w14:paraId="4D154DF4">
      <w:pPr>
        <w:keepNext w:val="0"/>
        <w:keepLines w:val="0"/>
        <w:pageBreakBefore w:val="0"/>
        <w:widowControl w:val="0"/>
        <w:kinsoku/>
        <w:wordWrap w:val="0"/>
        <w:overflowPunct/>
        <w:topLinePunct w:val="0"/>
        <w:autoSpaceDE w:val="0"/>
        <w:autoSpaceDN w:val="0"/>
        <w:bidi w:val="0"/>
        <w:adjustRightInd/>
        <w:snapToGrid/>
        <w:spacing w:before="0" w:after="120" w:line="560" w:lineRule="exact"/>
        <w:ind w:firstLine="0" w:firstLineChars="0"/>
        <w:jc w:val="center"/>
        <w:textAlignment w:val="auto"/>
        <w:rPr>
          <w:rFonts w:hint="eastAsia" w:ascii="楷体" w:hAnsi="楷体" w:eastAsia="楷体" w:cs="楷体"/>
          <w:b w:val="0"/>
          <w:bCs w:val="0"/>
          <w:color w:val="000000"/>
          <w:kern w:val="2"/>
          <w:sz w:val="32"/>
          <w:szCs w:val="32"/>
          <w:highlight w:val="none"/>
        </w:rPr>
      </w:pPr>
      <w:r>
        <w:rPr>
          <w:rFonts w:hint="eastAsia" w:ascii="楷体" w:hAnsi="楷体" w:eastAsia="楷体" w:cs="楷体"/>
          <w:b w:val="0"/>
          <w:bCs w:val="0"/>
          <w:color w:val="000000"/>
          <w:kern w:val="2"/>
          <w:sz w:val="32"/>
          <w:szCs w:val="32"/>
          <w:highlight w:val="none"/>
        </w:rPr>
        <w:t>第五部分  劳育素质能力测评标准</w:t>
      </w:r>
    </w:p>
    <w:p w14:paraId="183B0777">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一、劳育素质能力测评模块突出大学生劳动实践与技能，引导学生牢固树立“劳动最光荣、劳动最崇高、劳动最伟大、劳动最美丽”的社会主义劳动价值观，弘扬劳动精神。</w:t>
      </w:r>
    </w:p>
    <w:p w14:paraId="469C6F6C">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劳育素质能力测评内容主要包括学生劳动观念、劳动行为习惯、参加生产劳动情况、参与文明校园建设情况、从事志愿服务、社会实践和劳动主题教育活动等方面的表现。劳育素质能力测评采用百分制，测评成绩L包括劳育基础性评价得分L1和劳育成果性评价得分L2两部分。该项总分不超过100分，累计得分超过100分的按100分计。</w:t>
      </w:r>
    </w:p>
    <w:p w14:paraId="4893495C">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cs="仿宋"/>
          <w:b w:val="0"/>
          <w:bCs/>
          <w:color w:val="000000"/>
          <w:sz w:val="32"/>
          <w:szCs w:val="32"/>
          <w:highlight w:val="none"/>
        </w:rPr>
        <w:t>三、劳育基础性评价总分为60分，分为</w:t>
      </w:r>
      <w:r>
        <w:rPr>
          <w:rFonts w:hint="eastAsia" w:ascii="仿宋" w:hAnsi="仿宋" w:eastAsia="仿宋"/>
          <w:b w:val="0"/>
          <w:bCs/>
          <w:sz w:val="32"/>
          <w:szCs w:val="32"/>
          <w:highlight w:val="none"/>
        </w:rPr>
        <w:t>劳动观念与价值认同、劳动知识与实践能力、劳动态度与精神品质三个部分。班级工作小组在全面了解班级学生的基础上，根据学生日常生活表现进行综合评价赋分，评价标准如下：</w:t>
      </w:r>
    </w:p>
    <w:p w14:paraId="5B007F0E">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（一）劳动观念与价值认同（20分）</w:t>
      </w:r>
    </w:p>
    <w:p w14:paraId="22DC27C2">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1.正确理解劳动是人类生存发展的基本条件，认识劳动对个人成长和社会进步的重要意义，形成尊重劳动的思想基础。（4分）</w:t>
      </w:r>
    </w:p>
    <w:p w14:paraId="77485AE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2.尊重每一位劳动者，无论其行业与岗位，能够平等看待体力劳动与脑力劳动，感恩他人的劳动付出。（4分）</w:t>
      </w:r>
    </w:p>
    <w:p w14:paraId="4A40F66C">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3.牢固树立“劳动最光荣”的观念，在日常学习与生活中以参与劳动为荣，不逃避、不轻视任何正当劳动。（4分）</w:t>
      </w:r>
    </w:p>
    <w:p w14:paraId="203CEEE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4.牢固树立“劳动最崇高、劳动最伟大”的观念，崇尚劳动创造，理解劳动推动文明进步的伟大作用。（4分）</w:t>
      </w:r>
    </w:p>
    <w:p w14:paraId="13DB340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5.牢固树立“劳动最美丽”的观念，从劳动中感受创造之美、奉献之美，并在日常生活中积极践行劳动精神。（4分）</w:t>
      </w:r>
    </w:p>
    <w:p w14:paraId="22F444C1">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（二）劳动知识与实践能力（20分）</w:t>
      </w:r>
    </w:p>
    <w:p w14:paraId="20FB5381">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1.掌握基本的生活劳动知识与技能（如清洁、整理、烹饪、种植、简单维修等），能独立完成日常自我服务与家务劳动。（4分）</w:t>
      </w:r>
    </w:p>
    <w:p w14:paraId="7E488B4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2.能够正确识别并安全使用常见的劳动工具（如扫帚、抹布、螺丝刀、剪刀、园艺工具等），了解其保养方法。（4分）</w:t>
      </w:r>
    </w:p>
    <w:p w14:paraId="4AE34291">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3.通过劳动锻炼增强体力与耐力，在劳动过程中发展手眼协调与身体灵活性，促进身心健康发展。（4分）</w:t>
      </w:r>
    </w:p>
    <w:p w14:paraId="1D51E623">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4.在完成劳动任务时能够进行合理的设计与规划，具备一定的操作能力、问题解决能力和创造力。（4分）</w:t>
      </w:r>
    </w:p>
    <w:p w14:paraId="7BBBEFA4">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5.具备团队合作意识，能在集体劳动中与他人分工协作、互相配合，共同完成具有一定复杂性的劳动任务。（4分）</w:t>
      </w:r>
    </w:p>
    <w:p w14:paraId="3C2D20BC">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（三）劳动态度与精神品质（20分）</w:t>
      </w:r>
    </w:p>
    <w:p w14:paraId="685E0FC3">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1.具有较强的公共服务意识，主动关心校园、社区及公共环境的整洁与安全，愿意为集体利益付出劳动。（3分）</w:t>
      </w:r>
    </w:p>
    <w:p w14:paraId="0533AD90">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2.具有劳动奉献精神，不计较个人得失，在他人需要或集体有任务时能够主动承担、热心帮助。（3分）</w:t>
      </w:r>
    </w:p>
    <w:p w14:paraId="046CB3B9">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3.能够自觉自愿参与劳动，不被动、不敷衍；做到认真负责，对自己的劳动成果有高标准要求。（3分）</w:t>
      </w:r>
    </w:p>
    <w:p w14:paraId="3F80E7F6">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4.遵守劳动安全规范，掌握基本的安全防护知识；面对困难或重复性劳动能够坚持不懈，不轻言放弃。（</w:t>
      </w:r>
      <w:r>
        <w:rPr>
          <w:rFonts w:hint="eastAsia" w:ascii="仿宋" w:hAnsi="仿宋" w:eastAsia="仿宋"/>
          <w:b w:val="0"/>
          <w:bCs/>
          <w:sz w:val="32"/>
          <w:szCs w:val="32"/>
          <w:highlight w:val="none"/>
          <w:lang w:val="en-US" w:eastAsia="zh-CN"/>
        </w:rPr>
        <w:t>3</w:t>
      </w:r>
      <w:r>
        <w:rPr>
          <w:rFonts w:hint="eastAsia" w:ascii="仿宋" w:hAnsi="仿宋" w:eastAsia="仿宋"/>
          <w:b w:val="0"/>
          <w:bCs/>
          <w:sz w:val="32"/>
          <w:szCs w:val="32"/>
          <w:highlight w:val="none"/>
        </w:rPr>
        <w:t>分）</w:t>
      </w:r>
    </w:p>
    <w:p w14:paraId="35A63A83">
      <w:pPr>
        <w:keepNext w:val="0"/>
        <w:keepLines w:val="0"/>
        <w:pageBreakBefore w:val="0"/>
        <w:widowControl w:val="0"/>
        <w:kinsoku/>
        <w:overflowPunct/>
        <w:topLinePunct w:val="0"/>
        <w:bidi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5.养成诚实守信、吃苦耐劳的品质，不弄虚作假、不偷工减料；珍惜自己与他人的劳动成果，反对浪费与破坏行为。（</w:t>
      </w:r>
      <w:r>
        <w:rPr>
          <w:rFonts w:hint="eastAsia" w:ascii="仿宋" w:hAnsi="仿宋" w:eastAsia="仿宋"/>
          <w:b w:val="0"/>
          <w:bCs/>
          <w:sz w:val="32"/>
          <w:szCs w:val="32"/>
          <w:highlight w:val="none"/>
          <w:lang w:val="en-US" w:eastAsia="zh-CN"/>
        </w:rPr>
        <w:t>3</w:t>
      </w:r>
      <w:r>
        <w:rPr>
          <w:rFonts w:hint="eastAsia" w:ascii="仿宋" w:hAnsi="仿宋" w:eastAsia="仿宋"/>
          <w:b w:val="0"/>
          <w:bCs/>
          <w:sz w:val="32"/>
          <w:szCs w:val="32"/>
          <w:highlight w:val="none"/>
        </w:rPr>
        <w:t>分）</w:t>
      </w:r>
    </w:p>
    <w:p w14:paraId="20E39CCA">
      <w:pPr>
        <w:pStyle w:val="13"/>
        <w:keepNext w:val="0"/>
        <w:keepLines w:val="0"/>
        <w:pageBreakBefore w:val="0"/>
        <w:widowControl w:val="0"/>
        <w:kinsoku/>
        <w:overflowPunct/>
        <w:topLinePunct w:val="0"/>
        <w:bidi w:val="0"/>
        <w:spacing w:after="120" w:line="560" w:lineRule="exact"/>
        <w:ind w:firstLine="640"/>
        <w:textAlignment w:val="auto"/>
        <w:rPr>
          <w:rFonts w:ascii="仿宋" w:hAnsi="仿宋" w:eastAsia="仿宋" w:cs="仿宋"/>
          <w:b w:val="0"/>
          <w:bCs/>
          <w:color w:val="000000"/>
          <w:sz w:val="32"/>
          <w:szCs w:val="32"/>
          <w:highlight w:val="none"/>
        </w:rPr>
      </w:pPr>
      <w:r>
        <w:rPr>
          <w:rFonts w:hint="eastAsia" w:ascii="仿宋" w:hAnsi="仿宋" w:eastAsia="仿宋"/>
          <w:b w:val="0"/>
          <w:bCs/>
          <w:color w:val="000000"/>
          <w:sz w:val="32"/>
          <w:szCs w:val="32"/>
          <w:highlight w:val="none"/>
        </w:rPr>
        <w:t>6.热爱劳动、</w:t>
      </w:r>
      <w:r>
        <w:rPr>
          <w:rFonts w:hint="eastAsia" w:ascii="仿宋" w:hAnsi="仿宋" w:eastAsia="仿宋"/>
          <w:b w:val="0"/>
          <w:bCs/>
          <w:sz w:val="32"/>
          <w:szCs w:val="32"/>
          <w:highlight w:val="none"/>
        </w:rPr>
        <w:t>自觉遵守宿舍规定，维护宿舍卫生。（5分）其中，</w:t>
      </w:r>
      <w:r>
        <w:rPr>
          <w:rFonts w:hint="eastAsia" w:ascii="仿宋" w:hAnsi="仿宋" w:eastAsia="仿宋" w:cs="宋体"/>
          <w:b w:val="0"/>
          <w:bCs/>
          <w:sz w:val="32"/>
          <w:szCs w:val="32"/>
          <w:highlight w:val="none"/>
        </w:rPr>
        <w:t>晚归被查一次者扣0.5分，被查两次及以上者扣1分，无故夜不归宿一次扣1分</w:t>
      </w:r>
      <w:r>
        <w:rPr>
          <w:rFonts w:hint="eastAsia" w:ascii="仿宋" w:hAnsi="仿宋" w:eastAsia="仿宋"/>
          <w:b w:val="0"/>
          <w:bCs/>
          <w:sz w:val="32"/>
          <w:szCs w:val="32"/>
          <w:highlight w:val="none"/>
        </w:rPr>
        <w:t>。在</w:t>
      </w:r>
      <w:r>
        <w:rPr>
          <w:rFonts w:hint="eastAsia" w:ascii="仿宋" w:hAnsi="仿宋" w:eastAsia="仿宋" w:cs="宋体"/>
          <w:b w:val="0"/>
          <w:bCs/>
          <w:sz w:val="32"/>
          <w:szCs w:val="32"/>
          <w:highlight w:val="none"/>
        </w:rPr>
        <w:t>宿舍例检中当月两次80分以下宿舍全体成员扣0.5分，当月一次60分以下宿舍全体成员扣0.5分，被校生活部抽检为较差宿舍，宿舍全体成员扣1分</w:t>
      </w:r>
      <w:r>
        <w:rPr>
          <w:rFonts w:hint="eastAsia" w:ascii="仿宋" w:hAnsi="仿宋" w:eastAsia="仿宋"/>
          <w:b w:val="0"/>
          <w:bCs/>
          <w:sz w:val="32"/>
          <w:szCs w:val="32"/>
          <w:highlight w:val="none"/>
        </w:rPr>
        <w:t>。</w:t>
      </w:r>
    </w:p>
    <w:p w14:paraId="7E527E1E">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四、劳育成果性评价总分原则上为40分，累计得分超过40分的以40分计。测评内容主要包括志愿服务、社会实践、校园服务等部分。由各学院测评工作组依据学院测评细则对学生相关表现进行综合评价赋分。</w:t>
      </w:r>
    </w:p>
    <w:p w14:paraId="3B28A768">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（一）志愿服务（15分）</w:t>
      </w:r>
    </w:p>
    <w:p w14:paraId="10F059B8">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1.积极参加各级各类志愿服务项目大赛及获奖情况；</w:t>
      </w:r>
    </w:p>
    <w:tbl>
      <w:tblPr>
        <w:tblStyle w:val="12"/>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04"/>
        <w:gridCol w:w="1994"/>
        <w:gridCol w:w="2136"/>
        <w:gridCol w:w="2095"/>
      </w:tblGrid>
      <w:tr w14:paraId="1BE4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1434" w:type="pct"/>
            <w:vAlign w:val="center"/>
          </w:tcPr>
          <w:p w14:paraId="032C1B62">
            <w:pPr>
              <w:keepNext w:val="0"/>
              <w:keepLines w:val="0"/>
              <w:pageBreakBefore w:val="0"/>
              <w:widowControl w:val="0"/>
              <w:kinsoku/>
              <w:overflowPunct/>
              <w:topLinePunct w:val="0"/>
              <w:bidi w:val="0"/>
              <w:adjustRightInd w:val="0"/>
              <w:snapToGrid w:val="0"/>
              <w:spacing w:after="120" w:line="560" w:lineRule="exact"/>
              <w:ind w:firstLine="420"/>
              <w:jc w:val="center"/>
              <w:textAlignment w:val="auto"/>
              <w:rPr>
                <w:rFonts w:ascii="仿宋" w:hAnsi="仿宋" w:eastAsia="仿宋"/>
                <w:b w:val="0"/>
                <w:bCs/>
                <w:sz w:val="32"/>
                <w:szCs w:val="32"/>
                <w:highlight w:val="none"/>
              </w:rPr>
            </w:pPr>
            <w:r>
              <w:rPr>
                <w:rFonts w:ascii="仿宋" w:hAnsi="仿宋" w:eastAsia="仿宋"/>
                <w:b w:val="0"/>
                <w:bCs/>
                <w:position w:val="-28"/>
                <w:sz w:val="32"/>
                <w:szCs w:val="32"/>
                <w:highlight w:val="none"/>
              </w:rPr>
              <w:drawing>
                <wp:anchor distT="0" distB="0" distL="114300" distR="114300" simplePos="0" relativeHeight="251667456" behindDoc="1" locked="0" layoutInCell="1" allowOverlap="1">
                  <wp:simplePos x="0" y="0"/>
                  <wp:positionH relativeFrom="column">
                    <wp:posOffset>3810</wp:posOffset>
                  </wp:positionH>
                  <wp:positionV relativeFrom="paragraph">
                    <wp:posOffset>-635</wp:posOffset>
                  </wp:positionV>
                  <wp:extent cx="1551305" cy="746125"/>
                  <wp:effectExtent l="0" t="0" r="10795" b="15875"/>
                  <wp:wrapNone/>
                  <wp:docPr id="10" name="IM 14"/>
                  <wp:cNvGraphicFramePr/>
                  <a:graphic xmlns:a="http://schemas.openxmlformats.org/drawingml/2006/main">
                    <a:graphicData uri="http://schemas.openxmlformats.org/drawingml/2006/picture">
                      <pic:pic xmlns:pic="http://schemas.openxmlformats.org/drawingml/2006/picture">
                        <pic:nvPicPr>
                          <pic:cNvPr id="10" name="IM 14"/>
                          <pic:cNvPicPr/>
                        </pic:nvPicPr>
                        <pic:blipFill>
                          <a:blip r:embed="rId5"/>
                          <a:stretch>
                            <a:fillRect/>
                          </a:stretch>
                        </pic:blipFill>
                        <pic:spPr>
                          <a:xfrm>
                            <a:off x="0" y="0"/>
                            <a:ext cx="1551305" cy="746125"/>
                          </a:xfrm>
                          <a:prstGeom prst="rect">
                            <a:avLst/>
                          </a:prstGeom>
                          <a:noFill/>
                          <a:ln>
                            <a:noFill/>
                          </a:ln>
                        </pic:spPr>
                      </pic:pic>
                    </a:graphicData>
                  </a:graphic>
                </wp:anchor>
              </w:drawing>
            </w:r>
          </w:p>
        </w:tc>
        <w:tc>
          <w:tcPr>
            <w:tcW w:w="1142" w:type="pct"/>
            <w:vAlign w:val="center"/>
          </w:tcPr>
          <w:p w14:paraId="36255AD9">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第一名</w:t>
            </w:r>
          </w:p>
        </w:tc>
        <w:tc>
          <w:tcPr>
            <w:tcW w:w="1223" w:type="pct"/>
            <w:vAlign w:val="center"/>
          </w:tcPr>
          <w:p w14:paraId="630C049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第二名</w:t>
            </w:r>
          </w:p>
        </w:tc>
        <w:tc>
          <w:tcPr>
            <w:tcW w:w="1199" w:type="pct"/>
            <w:vAlign w:val="center"/>
          </w:tcPr>
          <w:p w14:paraId="028EC81F">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第三名</w:t>
            </w:r>
          </w:p>
        </w:tc>
      </w:tr>
      <w:tr w14:paraId="53EA9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69083172">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25"/>
                <w:sz w:val="32"/>
                <w:szCs w:val="32"/>
                <w:highlight w:val="none"/>
              </w:rPr>
              <w:t>国家级</w:t>
            </w:r>
          </w:p>
        </w:tc>
        <w:tc>
          <w:tcPr>
            <w:tcW w:w="1142" w:type="pct"/>
            <w:vAlign w:val="center"/>
          </w:tcPr>
          <w:p w14:paraId="394E944C">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3"/>
                <w:sz w:val="32"/>
                <w:szCs w:val="32"/>
                <w:highlight w:val="none"/>
                <w:lang w:val="en-US" w:eastAsia="zh-CN"/>
              </w:rPr>
              <w:t>1</w:t>
            </w:r>
            <w:r>
              <w:rPr>
                <w:rFonts w:ascii="仿宋" w:hAnsi="仿宋" w:eastAsia="仿宋"/>
                <w:b w:val="0"/>
                <w:bCs/>
                <w:spacing w:val="-3"/>
                <w:sz w:val="32"/>
                <w:szCs w:val="32"/>
                <w:highlight w:val="none"/>
              </w:rPr>
              <w:t>5.0</w:t>
            </w:r>
            <w:r>
              <w:rPr>
                <w:rFonts w:ascii="仿宋" w:hAnsi="仿宋" w:eastAsia="仿宋" w:cs="宋体"/>
                <w:b w:val="0"/>
                <w:bCs/>
                <w:spacing w:val="-3"/>
                <w:sz w:val="32"/>
                <w:szCs w:val="32"/>
                <w:highlight w:val="none"/>
              </w:rPr>
              <w:t>（</w:t>
            </w:r>
            <w:r>
              <w:rPr>
                <w:rFonts w:hint="eastAsia" w:ascii="仿宋" w:hAnsi="仿宋" w:eastAsia="仿宋"/>
                <w:b w:val="0"/>
                <w:bCs/>
                <w:spacing w:val="-3"/>
                <w:sz w:val="32"/>
                <w:szCs w:val="32"/>
                <w:highlight w:val="none"/>
                <w:lang w:val="en-US" w:eastAsia="zh-CN"/>
              </w:rPr>
              <w:t>13.0</w:t>
            </w:r>
            <w:r>
              <w:rPr>
                <w:rFonts w:ascii="仿宋" w:hAnsi="仿宋" w:eastAsia="仿宋" w:cs="宋体"/>
                <w:b w:val="0"/>
                <w:bCs/>
                <w:spacing w:val="-3"/>
                <w:sz w:val="32"/>
                <w:szCs w:val="32"/>
                <w:highlight w:val="none"/>
              </w:rPr>
              <w:t>）</w:t>
            </w:r>
          </w:p>
        </w:tc>
        <w:tc>
          <w:tcPr>
            <w:tcW w:w="1223" w:type="pct"/>
            <w:vAlign w:val="center"/>
          </w:tcPr>
          <w:p w14:paraId="510C8CF9">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z w:val="32"/>
                <w:szCs w:val="32"/>
                <w:highlight w:val="none"/>
                <w:lang w:val="en-US" w:eastAsia="zh-CN"/>
              </w:rPr>
              <w:t>14.0</w:t>
            </w:r>
            <w:r>
              <w:rPr>
                <w:rFonts w:ascii="仿宋" w:hAnsi="仿宋" w:eastAsia="仿宋" w:cs="宋体"/>
                <w:b w:val="0"/>
                <w:bCs/>
                <w:sz w:val="32"/>
                <w:szCs w:val="32"/>
                <w:highlight w:val="none"/>
              </w:rPr>
              <w:t>（</w:t>
            </w:r>
            <w:r>
              <w:rPr>
                <w:rFonts w:hint="eastAsia" w:ascii="仿宋" w:hAnsi="仿宋" w:eastAsia="仿宋"/>
                <w:b w:val="0"/>
                <w:bCs/>
                <w:sz w:val="32"/>
                <w:szCs w:val="32"/>
                <w:highlight w:val="none"/>
                <w:lang w:val="en-US" w:eastAsia="zh-CN"/>
              </w:rPr>
              <w:t>12.0</w:t>
            </w:r>
            <w:r>
              <w:rPr>
                <w:rFonts w:ascii="仿宋" w:hAnsi="仿宋" w:eastAsia="仿宋" w:cs="宋体"/>
                <w:b w:val="0"/>
                <w:bCs/>
                <w:sz w:val="32"/>
                <w:szCs w:val="32"/>
                <w:highlight w:val="none"/>
              </w:rPr>
              <w:t>）</w:t>
            </w:r>
          </w:p>
        </w:tc>
        <w:tc>
          <w:tcPr>
            <w:tcW w:w="1199" w:type="pct"/>
            <w:vAlign w:val="center"/>
          </w:tcPr>
          <w:p w14:paraId="3F49E829">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5"/>
                <w:sz w:val="32"/>
                <w:szCs w:val="32"/>
                <w:highlight w:val="none"/>
                <w:lang w:val="en-US" w:eastAsia="zh-CN"/>
              </w:rPr>
              <w:t>13.0</w:t>
            </w:r>
            <w:r>
              <w:rPr>
                <w:rFonts w:ascii="仿宋" w:hAnsi="仿宋" w:eastAsia="仿宋" w:cs="宋体"/>
                <w:b w:val="0"/>
                <w:bCs/>
                <w:spacing w:val="-5"/>
                <w:sz w:val="32"/>
                <w:szCs w:val="32"/>
                <w:highlight w:val="none"/>
              </w:rPr>
              <w:t>（</w:t>
            </w:r>
            <w:r>
              <w:rPr>
                <w:rFonts w:hint="eastAsia" w:ascii="仿宋" w:hAnsi="仿宋" w:eastAsia="仿宋"/>
                <w:b w:val="0"/>
                <w:bCs/>
                <w:spacing w:val="-5"/>
                <w:sz w:val="32"/>
                <w:szCs w:val="32"/>
                <w:highlight w:val="none"/>
                <w:lang w:val="en-US" w:eastAsia="zh-CN"/>
              </w:rPr>
              <w:t>11.0</w:t>
            </w:r>
            <w:r>
              <w:rPr>
                <w:rFonts w:ascii="仿宋" w:hAnsi="仿宋" w:eastAsia="仿宋" w:cs="宋体"/>
                <w:b w:val="0"/>
                <w:bCs/>
                <w:spacing w:val="-5"/>
                <w:sz w:val="32"/>
                <w:szCs w:val="32"/>
                <w:highlight w:val="none"/>
              </w:rPr>
              <w:t>）</w:t>
            </w:r>
          </w:p>
        </w:tc>
      </w:tr>
      <w:tr w14:paraId="5D90C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31F46CA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11"/>
                <w:sz w:val="32"/>
                <w:szCs w:val="32"/>
                <w:highlight w:val="none"/>
              </w:rPr>
              <w:t>省部级</w:t>
            </w:r>
          </w:p>
        </w:tc>
        <w:tc>
          <w:tcPr>
            <w:tcW w:w="1142" w:type="pct"/>
            <w:vAlign w:val="center"/>
          </w:tcPr>
          <w:p w14:paraId="27519F0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5"/>
                <w:sz w:val="32"/>
                <w:szCs w:val="32"/>
                <w:highlight w:val="none"/>
                <w:lang w:val="en-US" w:eastAsia="zh-CN"/>
              </w:rPr>
              <w:t>12.0</w:t>
            </w:r>
            <w:r>
              <w:rPr>
                <w:rFonts w:ascii="仿宋" w:hAnsi="仿宋" w:eastAsia="仿宋" w:cs="宋体"/>
                <w:b w:val="0"/>
                <w:bCs/>
                <w:spacing w:val="-5"/>
                <w:sz w:val="32"/>
                <w:szCs w:val="32"/>
                <w:highlight w:val="none"/>
              </w:rPr>
              <w:t>（</w:t>
            </w:r>
            <w:r>
              <w:rPr>
                <w:rFonts w:hint="eastAsia" w:ascii="仿宋" w:hAnsi="仿宋" w:eastAsia="仿宋"/>
                <w:b w:val="0"/>
                <w:bCs/>
                <w:spacing w:val="-5"/>
                <w:sz w:val="32"/>
                <w:szCs w:val="32"/>
                <w:highlight w:val="none"/>
                <w:lang w:val="en-US" w:eastAsia="zh-CN"/>
              </w:rPr>
              <w:t>10.0</w:t>
            </w:r>
            <w:r>
              <w:rPr>
                <w:rFonts w:ascii="仿宋" w:hAnsi="仿宋" w:eastAsia="仿宋" w:cs="宋体"/>
                <w:b w:val="0"/>
                <w:bCs/>
                <w:spacing w:val="-5"/>
                <w:sz w:val="32"/>
                <w:szCs w:val="32"/>
                <w:highlight w:val="none"/>
              </w:rPr>
              <w:t>）</w:t>
            </w:r>
          </w:p>
        </w:tc>
        <w:tc>
          <w:tcPr>
            <w:tcW w:w="1223" w:type="pct"/>
            <w:vAlign w:val="center"/>
          </w:tcPr>
          <w:p w14:paraId="5FBDF80D">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2"/>
                <w:sz w:val="32"/>
                <w:szCs w:val="32"/>
                <w:highlight w:val="none"/>
                <w:lang w:val="en-US" w:eastAsia="zh-CN"/>
              </w:rPr>
              <w:t>11.0</w:t>
            </w:r>
            <w:r>
              <w:rPr>
                <w:rFonts w:ascii="仿宋" w:hAnsi="仿宋" w:eastAsia="仿宋" w:cs="宋体"/>
                <w:b w:val="0"/>
                <w:bCs/>
                <w:spacing w:val="-2"/>
                <w:sz w:val="32"/>
                <w:szCs w:val="32"/>
                <w:highlight w:val="none"/>
              </w:rPr>
              <w:t>（</w:t>
            </w:r>
            <w:r>
              <w:rPr>
                <w:rFonts w:hint="eastAsia" w:ascii="仿宋" w:hAnsi="仿宋" w:eastAsia="仿宋" w:cs="宋体"/>
                <w:b w:val="0"/>
                <w:bCs/>
                <w:spacing w:val="-2"/>
                <w:sz w:val="32"/>
                <w:szCs w:val="32"/>
                <w:highlight w:val="none"/>
                <w:lang w:val="en-US" w:eastAsia="zh-CN"/>
              </w:rPr>
              <w:t>9</w:t>
            </w:r>
            <w:r>
              <w:rPr>
                <w:rFonts w:hint="eastAsia" w:ascii="仿宋" w:hAnsi="仿宋" w:eastAsia="仿宋"/>
                <w:b w:val="0"/>
                <w:bCs/>
                <w:spacing w:val="-2"/>
                <w:sz w:val="32"/>
                <w:szCs w:val="32"/>
                <w:highlight w:val="none"/>
                <w:lang w:val="en-US" w:eastAsia="zh-CN"/>
              </w:rPr>
              <w:t>.0</w:t>
            </w:r>
            <w:r>
              <w:rPr>
                <w:rFonts w:ascii="仿宋" w:hAnsi="仿宋" w:eastAsia="仿宋" w:cs="宋体"/>
                <w:b w:val="0"/>
                <w:bCs/>
                <w:spacing w:val="-2"/>
                <w:sz w:val="32"/>
                <w:szCs w:val="32"/>
                <w:highlight w:val="none"/>
              </w:rPr>
              <w:t>）</w:t>
            </w:r>
          </w:p>
        </w:tc>
        <w:tc>
          <w:tcPr>
            <w:tcW w:w="1199" w:type="pct"/>
            <w:vAlign w:val="center"/>
          </w:tcPr>
          <w:p w14:paraId="110B1E7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2"/>
                <w:sz w:val="32"/>
                <w:szCs w:val="32"/>
                <w:highlight w:val="none"/>
                <w:lang w:val="en-US" w:eastAsia="zh-CN"/>
              </w:rPr>
              <w:t>10.0</w:t>
            </w:r>
            <w:r>
              <w:rPr>
                <w:rFonts w:ascii="仿宋" w:hAnsi="仿宋" w:eastAsia="仿宋" w:cs="宋体"/>
                <w:b w:val="0"/>
                <w:bCs/>
                <w:spacing w:val="-2"/>
                <w:sz w:val="32"/>
                <w:szCs w:val="32"/>
                <w:highlight w:val="none"/>
              </w:rPr>
              <w:t>（</w:t>
            </w:r>
            <w:r>
              <w:rPr>
                <w:rFonts w:hint="eastAsia" w:ascii="仿宋" w:hAnsi="仿宋" w:eastAsia="仿宋"/>
                <w:b w:val="0"/>
                <w:bCs/>
                <w:spacing w:val="-2"/>
                <w:sz w:val="32"/>
                <w:szCs w:val="32"/>
                <w:highlight w:val="none"/>
                <w:lang w:val="en-US" w:eastAsia="zh-CN"/>
              </w:rPr>
              <w:t>8.0</w:t>
            </w:r>
            <w:r>
              <w:rPr>
                <w:rFonts w:ascii="仿宋" w:hAnsi="仿宋" w:eastAsia="仿宋" w:cs="宋体"/>
                <w:b w:val="0"/>
                <w:bCs/>
                <w:spacing w:val="-2"/>
                <w:sz w:val="32"/>
                <w:szCs w:val="32"/>
                <w:highlight w:val="none"/>
              </w:rPr>
              <w:t>）</w:t>
            </w:r>
          </w:p>
        </w:tc>
      </w:tr>
      <w:tr w14:paraId="318DC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70A93D1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9"/>
                <w:sz w:val="32"/>
                <w:szCs w:val="32"/>
                <w:highlight w:val="none"/>
              </w:rPr>
              <w:t>校级</w:t>
            </w:r>
          </w:p>
        </w:tc>
        <w:tc>
          <w:tcPr>
            <w:tcW w:w="1142" w:type="pct"/>
            <w:vAlign w:val="center"/>
          </w:tcPr>
          <w:p w14:paraId="69A4F75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2"/>
                <w:sz w:val="32"/>
                <w:szCs w:val="32"/>
                <w:highlight w:val="none"/>
                <w:lang w:val="en-US" w:eastAsia="zh-CN"/>
              </w:rPr>
              <w:t>9.0</w:t>
            </w:r>
            <w:r>
              <w:rPr>
                <w:rFonts w:ascii="仿宋" w:hAnsi="仿宋" w:eastAsia="仿宋" w:cs="宋体"/>
                <w:b w:val="0"/>
                <w:bCs/>
                <w:spacing w:val="-2"/>
                <w:sz w:val="32"/>
                <w:szCs w:val="32"/>
                <w:highlight w:val="none"/>
              </w:rPr>
              <w:t>（</w:t>
            </w:r>
            <w:r>
              <w:rPr>
                <w:rFonts w:hint="eastAsia" w:ascii="仿宋" w:hAnsi="仿宋" w:eastAsia="仿宋"/>
                <w:b w:val="0"/>
                <w:bCs/>
                <w:spacing w:val="-2"/>
                <w:sz w:val="32"/>
                <w:szCs w:val="32"/>
                <w:highlight w:val="none"/>
                <w:lang w:val="en-US" w:eastAsia="zh-CN"/>
              </w:rPr>
              <w:t>7.0</w:t>
            </w:r>
            <w:r>
              <w:rPr>
                <w:rFonts w:ascii="仿宋" w:hAnsi="仿宋" w:eastAsia="仿宋" w:cs="宋体"/>
                <w:b w:val="0"/>
                <w:bCs/>
                <w:spacing w:val="-2"/>
                <w:sz w:val="32"/>
                <w:szCs w:val="32"/>
                <w:highlight w:val="none"/>
              </w:rPr>
              <w:t>）</w:t>
            </w:r>
          </w:p>
        </w:tc>
        <w:tc>
          <w:tcPr>
            <w:tcW w:w="1223" w:type="pct"/>
            <w:vAlign w:val="center"/>
          </w:tcPr>
          <w:p w14:paraId="6E71D34E">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8.0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6.0</w:t>
            </w:r>
            <w:r>
              <w:rPr>
                <w:rFonts w:ascii="仿宋" w:hAnsi="仿宋" w:eastAsia="仿宋" w:cs="宋体"/>
                <w:b w:val="0"/>
                <w:bCs/>
                <w:spacing w:val="-1"/>
                <w:sz w:val="32"/>
                <w:szCs w:val="32"/>
                <w:highlight w:val="none"/>
              </w:rPr>
              <w:t>）</w:t>
            </w:r>
          </w:p>
        </w:tc>
        <w:tc>
          <w:tcPr>
            <w:tcW w:w="1199" w:type="pct"/>
            <w:vAlign w:val="center"/>
          </w:tcPr>
          <w:p w14:paraId="1D4F1281">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7.0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5.0</w:t>
            </w:r>
            <w:r>
              <w:rPr>
                <w:rFonts w:ascii="仿宋" w:hAnsi="仿宋" w:eastAsia="仿宋" w:cs="宋体"/>
                <w:b w:val="0"/>
                <w:bCs/>
                <w:spacing w:val="-1"/>
                <w:sz w:val="32"/>
                <w:szCs w:val="32"/>
                <w:highlight w:val="none"/>
              </w:rPr>
              <w:t>）</w:t>
            </w:r>
          </w:p>
        </w:tc>
      </w:tr>
      <w:tr w14:paraId="3C1B0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34" w:type="pct"/>
            <w:vAlign w:val="center"/>
          </w:tcPr>
          <w:p w14:paraId="64CECDF8">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18"/>
                <w:sz w:val="32"/>
                <w:szCs w:val="32"/>
                <w:highlight w:val="none"/>
              </w:rPr>
              <w:t>院级</w:t>
            </w:r>
          </w:p>
        </w:tc>
        <w:tc>
          <w:tcPr>
            <w:tcW w:w="1142" w:type="pct"/>
            <w:vAlign w:val="center"/>
          </w:tcPr>
          <w:p w14:paraId="348D7C24">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6.0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4.0</w:t>
            </w:r>
            <w:r>
              <w:rPr>
                <w:rFonts w:ascii="仿宋" w:hAnsi="仿宋" w:eastAsia="仿宋" w:cs="宋体"/>
                <w:b w:val="0"/>
                <w:bCs/>
                <w:spacing w:val="-1"/>
                <w:sz w:val="32"/>
                <w:szCs w:val="32"/>
                <w:highlight w:val="none"/>
              </w:rPr>
              <w:t>）</w:t>
            </w:r>
          </w:p>
        </w:tc>
        <w:tc>
          <w:tcPr>
            <w:tcW w:w="1223" w:type="pct"/>
            <w:vAlign w:val="center"/>
          </w:tcPr>
          <w:p w14:paraId="716E91B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5.0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3.0</w:t>
            </w:r>
            <w:r>
              <w:rPr>
                <w:rFonts w:ascii="仿宋" w:hAnsi="仿宋" w:eastAsia="仿宋" w:cs="宋体"/>
                <w:b w:val="0"/>
                <w:bCs/>
                <w:spacing w:val="-1"/>
                <w:sz w:val="32"/>
                <w:szCs w:val="32"/>
                <w:highlight w:val="none"/>
              </w:rPr>
              <w:t>）</w:t>
            </w:r>
          </w:p>
        </w:tc>
        <w:tc>
          <w:tcPr>
            <w:tcW w:w="1199" w:type="pct"/>
            <w:vAlign w:val="center"/>
          </w:tcPr>
          <w:p w14:paraId="41560BF2">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4"/>
                <w:sz w:val="32"/>
                <w:szCs w:val="32"/>
                <w:highlight w:val="none"/>
                <w:lang w:val="en-US" w:eastAsia="zh-CN"/>
              </w:rPr>
              <w:t>4.0</w:t>
            </w:r>
            <w:r>
              <w:rPr>
                <w:rFonts w:ascii="仿宋" w:hAnsi="仿宋" w:eastAsia="仿宋" w:cs="宋体"/>
                <w:b w:val="0"/>
                <w:bCs/>
                <w:spacing w:val="-4"/>
                <w:sz w:val="32"/>
                <w:szCs w:val="32"/>
                <w:highlight w:val="none"/>
              </w:rPr>
              <w:t>（</w:t>
            </w:r>
            <w:r>
              <w:rPr>
                <w:rFonts w:hint="eastAsia" w:ascii="仿宋" w:hAnsi="仿宋" w:eastAsia="仿宋"/>
                <w:b w:val="0"/>
                <w:bCs/>
                <w:spacing w:val="-4"/>
                <w:sz w:val="32"/>
                <w:szCs w:val="32"/>
                <w:highlight w:val="none"/>
                <w:lang w:val="en-US" w:eastAsia="zh-CN"/>
              </w:rPr>
              <w:t>2.0</w:t>
            </w:r>
            <w:r>
              <w:rPr>
                <w:rFonts w:ascii="仿宋" w:hAnsi="仿宋" w:eastAsia="仿宋" w:cs="宋体"/>
                <w:b w:val="0"/>
                <w:bCs/>
                <w:spacing w:val="-4"/>
                <w:sz w:val="32"/>
                <w:szCs w:val="32"/>
                <w:highlight w:val="none"/>
              </w:rPr>
              <w:t>）</w:t>
            </w:r>
          </w:p>
        </w:tc>
      </w:tr>
    </w:tbl>
    <w:p w14:paraId="74BAC098">
      <w:pPr>
        <w:keepNext w:val="0"/>
        <w:keepLines w:val="0"/>
        <w:pageBreakBefore w:val="0"/>
        <w:widowControl w:val="0"/>
        <w:kinsoku/>
        <w:overflowPunct/>
        <w:topLinePunct w:val="0"/>
        <w:bidi w:val="0"/>
        <w:spacing w:after="120" w:line="560" w:lineRule="exact"/>
        <w:ind w:firstLine="56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28"/>
          <w:szCs w:val="28"/>
          <w:highlight w:val="none"/>
        </w:rPr>
        <w:t>备注：括号外是队长的分数，括号内是队员的分数。</w:t>
      </w:r>
    </w:p>
    <w:p w14:paraId="74E3800C">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2.在校、院组织的各种比赛担任裁判的（</w:t>
      </w:r>
      <w:r>
        <w:rPr>
          <w:rFonts w:hint="eastAsia" w:ascii="仿宋" w:hAnsi="仿宋" w:eastAsia="仿宋"/>
          <w:b w:val="0"/>
          <w:bCs/>
          <w:sz w:val="32"/>
          <w:szCs w:val="32"/>
          <w:highlight w:val="none"/>
          <w:lang w:eastAsia="zh-CN"/>
        </w:rPr>
        <w:t>校级2分/次</w:t>
      </w:r>
      <w:r>
        <w:rPr>
          <w:rFonts w:hint="eastAsia" w:ascii="仿宋" w:hAnsi="仿宋" w:eastAsia="仿宋"/>
          <w:b w:val="0"/>
          <w:bCs/>
          <w:sz w:val="32"/>
          <w:szCs w:val="32"/>
          <w:highlight w:val="none"/>
        </w:rPr>
        <w:t>，</w:t>
      </w:r>
      <w:r>
        <w:rPr>
          <w:rFonts w:hint="eastAsia" w:ascii="仿宋" w:hAnsi="仿宋" w:eastAsia="仿宋"/>
          <w:b w:val="0"/>
          <w:bCs/>
          <w:sz w:val="32"/>
          <w:szCs w:val="32"/>
          <w:highlight w:val="none"/>
          <w:lang w:eastAsia="zh-CN"/>
        </w:rPr>
        <w:t>院级1分/次</w:t>
      </w:r>
      <w:r>
        <w:rPr>
          <w:rFonts w:hint="eastAsia" w:ascii="仿宋" w:hAnsi="仿宋" w:eastAsia="仿宋"/>
          <w:b w:val="0"/>
          <w:bCs/>
          <w:sz w:val="32"/>
          <w:szCs w:val="32"/>
          <w:highlight w:val="none"/>
        </w:rPr>
        <w:t>）</w:t>
      </w:r>
    </w:p>
    <w:p w14:paraId="2B6C3F1C">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textAlignment w:val="auto"/>
        <w:rPr>
          <w:rFonts w:ascii="仿宋" w:hAnsi="仿宋" w:eastAsia="仿宋"/>
          <w:b w:val="0"/>
          <w:bCs/>
          <w:sz w:val="32"/>
          <w:szCs w:val="32"/>
          <w:highlight w:val="none"/>
        </w:rPr>
      </w:pPr>
      <w:r>
        <w:rPr>
          <w:rFonts w:hint="eastAsia" w:ascii="仿宋" w:hAnsi="仿宋" w:eastAsia="仿宋"/>
          <w:b w:val="0"/>
          <w:bCs/>
          <w:sz w:val="32"/>
          <w:szCs w:val="32"/>
          <w:highlight w:val="none"/>
        </w:rPr>
        <w:t>3.参加校运动会的方阵、仪仗队、彩旗队等其他表演队伍，（</w:t>
      </w:r>
      <w:r>
        <w:rPr>
          <w:rFonts w:hint="eastAsia" w:ascii="仿宋" w:hAnsi="仿宋" w:eastAsia="仿宋"/>
          <w:b w:val="0"/>
          <w:bCs/>
          <w:sz w:val="32"/>
          <w:szCs w:val="32"/>
          <w:highlight w:val="none"/>
          <w:lang w:val="en-US" w:eastAsia="zh-CN"/>
        </w:rPr>
        <w:t>2</w:t>
      </w:r>
      <w:r>
        <w:rPr>
          <w:rFonts w:hint="eastAsia" w:ascii="仿宋" w:hAnsi="仿宋" w:eastAsia="仿宋"/>
          <w:b w:val="0"/>
          <w:bCs/>
          <w:sz w:val="32"/>
          <w:szCs w:val="32"/>
          <w:highlight w:val="none"/>
        </w:rPr>
        <w:t>分/次，上限</w:t>
      </w:r>
      <w:r>
        <w:rPr>
          <w:rFonts w:hint="eastAsia" w:ascii="仿宋" w:hAnsi="仿宋" w:eastAsia="仿宋"/>
          <w:b w:val="0"/>
          <w:bCs/>
          <w:sz w:val="32"/>
          <w:szCs w:val="32"/>
          <w:highlight w:val="none"/>
          <w:lang w:val="en-US" w:eastAsia="zh-CN"/>
        </w:rPr>
        <w:t>6</w:t>
      </w:r>
      <w:r>
        <w:rPr>
          <w:rFonts w:hint="eastAsia" w:ascii="仿宋" w:hAnsi="仿宋" w:eastAsia="仿宋"/>
          <w:b w:val="0"/>
          <w:bCs/>
          <w:sz w:val="32"/>
          <w:szCs w:val="32"/>
          <w:highlight w:val="none"/>
        </w:rPr>
        <w:t>分）</w:t>
      </w:r>
    </w:p>
    <w:p w14:paraId="43242EAF">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4.参加田园使者、村主任助理等；（每学期</w:t>
      </w:r>
      <w:r>
        <w:rPr>
          <w:rFonts w:hint="eastAsia" w:ascii="仿宋" w:hAnsi="仿宋" w:eastAsia="仿宋"/>
          <w:b w:val="0"/>
          <w:bCs/>
          <w:color w:val="000000"/>
          <w:sz w:val="32"/>
          <w:szCs w:val="32"/>
          <w:highlight w:val="none"/>
          <w:lang w:val="en-US" w:eastAsia="zh-CN"/>
        </w:rPr>
        <w:t>2</w:t>
      </w:r>
      <w:r>
        <w:rPr>
          <w:rFonts w:hint="eastAsia" w:ascii="仿宋" w:hAnsi="仿宋" w:eastAsia="仿宋"/>
          <w:b w:val="0"/>
          <w:bCs/>
          <w:color w:val="000000"/>
          <w:sz w:val="32"/>
          <w:szCs w:val="32"/>
          <w:highlight w:val="none"/>
        </w:rPr>
        <w:t>分，考核优秀再加</w:t>
      </w:r>
      <w:r>
        <w:rPr>
          <w:rFonts w:hint="eastAsia" w:ascii="仿宋" w:hAnsi="仿宋" w:eastAsia="仿宋"/>
          <w:b w:val="0"/>
          <w:bCs/>
          <w:color w:val="000000"/>
          <w:sz w:val="32"/>
          <w:szCs w:val="32"/>
          <w:highlight w:val="none"/>
          <w:lang w:val="en-US" w:eastAsia="zh-CN"/>
        </w:rPr>
        <w:t>2</w:t>
      </w:r>
      <w:r>
        <w:rPr>
          <w:rFonts w:hint="eastAsia" w:ascii="仿宋" w:hAnsi="仿宋" w:eastAsia="仿宋"/>
          <w:b w:val="0"/>
          <w:bCs/>
          <w:color w:val="000000"/>
          <w:sz w:val="32"/>
          <w:szCs w:val="32"/>
          <w:highlight w:val="none"/>
        </w:rPr>
        <w:t>分，考核结果不重复加分）；</w:t>
      </w:r>
    </w:p>
    <w:p w14:paraId="25575D19">
      <w:pPr>
        <w:keepNext w:val="0"/>
        <w:keepLines w:val="0"/>
        <w:pageBreakBefore w:val="0"/>
        <w:widowControl w:val="0"/>
        <w:kinsoku/>
        <w:wordWrap/>
        <w:overflowPunct/>
        <w:topLinePunct w:val="0"/>
        <w:autoSpaceDE/>
        <w:autoSpaceDN/>
        <w:bidi w:val="0"/>
        <w:adjustRightInd w:val="0"/>
        <w:snapToGrid w:val="0"/>
        <w:spacing w:after="120" w:line="560" w:lineRule="exact"/>
        <w:ind w:firstLine="640" w:firstLineChars="200"/>
        <w:textAlignment w:val="auto"/>
        <w:rPr>
          <w:rFonts w:ascii="仿宋" w:hAnsi="仿宋" w:eastAsia="仿宋"/>
          <w:b w:val="0"/>
          <w:bCs/>
          <w:color w:val="000000"/>
          <w:sz w:val="32"/>
          <w:szCs w:val="32"/>
          <w:highlight w:val="none"/>
        </w:rPr>
      </w:pPr>
      <w:r>
        <w:rPr>
          <w:rFonts w:hint="eastAsia" w:ascii="仿宋" w:hAnsi="仿宋" w:eastAsia="仿宋"/>
          <w:b w:val="0"/>
          <w:bCs/>
          <w:color w:val="000000"/>
          <w:sz w:val="32"/>
          <w:szCs w:val="32"/>
          <w:highlight w:val="none"/>
        </w:rPr>
        <w:t>5.</w:t>
      </w:r>
      <w:r>
        <w:rPr>
          <w:rFonts w:hint="eastAsia" w:ascii="仿宋" w:hAnsi="仿宋" w:eastAsia="仿宋" w:cs="仿宋"/>
          <w:b w:val="0"/>
          <w:bCs/>
          <w:color w:val="000000"/>
          <w:sz w:val="32"/>
          <w:szCs w:val="32"/>
          <w:highlight w:val="none"/>
        </w:rPr>
        <w:t>积极进行志愿者注册并</w:t>
      </w:r>
      <w:r>
        <w:rPr>
          <w:rFonts w:hint="eastAsia" w:ascii="仿宋" w:hAnsi="仿宋" w:eastAsia="仿宋"/>
          <w:b w:val="0"/>
          <w:bCs/>
          <w:color w:val="000000"/>
          <w:sz w:val="32"/>
          <w:szCs w:val="32"/>
          <w:highlight w:val="none"/>
        </w:rPr>
        <w:t>参加农高会志愿服务、杨凌马拉松志愿服务、春蕾支教志愿服务、“雷锋月”系列活动、“经小苗”志愿服务等；（1分/次，</w:t>
      </w:r>
      <w:r>
        <w:rPr>
          <w:rFonts w:hint="eastAsia" w:ascii="仿宋" w:hAnsi="仿宋" w:eastAsia="仿宋"/>
          <w:b w:val="0"/>
          <w:bCs/>
          <w:sz w:val="32"/>
          <w:szCs w:val="32"/>
          <w:highlight w:val="none"/>
        </w:rPr>
        <w:t>上限</w:t>
      </w:r>
      <w:r>
        <w:rPr>
          <w:rFonts w:hint="eastAsia" w:ascii="仿宋" w:hAnsi="仿宋" w:eastAsia="仿宋"/>
          <w:b w:val="0"/>
          <w:bCs/>
          <w:sz w:val="32"/>
          <w:szCs w:val="32"/>
          <w:highlight w:val="none"/>
          <w:lang w:val="en-US" w:eastAsia="zh-CN"/>
        </w:rPr>
        <w:t>8</w:t>
      </w:r>
      <w:r>
        <w:rPr>
          <w:rFonts w:hint="eastAsia" w:ascii="仿宋" w:hAnsi="仿宋" w:eastAsia="仿宋"/>
          <w:b w:val="0"/>
          <w:bCs/>
          <w:sz w:val="32"/>
          <w:szCs w:val="32"/>
          <w:highlight w:val="none"/>
        </w:rPr>
        <w:t>分，</w:t>
      </w:r>
      <w:r>
        <w:rPr>
          <w:rFonts w:hint="eastAsia" w:ascii="仿宋" w:hAnsi="仿宋" w:eastAsia="仿宋"/>
          <w:b w:val="0"/>
          <w:bCs/>
          <w:color w:val="000000"/>
          <w:sz w:val="32"/>
          <w:szCs w:val="32"/>
          <w:highlight w:val="none"/>
        </w:rPr>
        <w:t>以实践部记录或公示文件为准；</w:t>
      </w:r>
      <w:r>
        <w:rPr>
          <w:rFonts w:hint="eastAsia" w:ascii="仿宋" w:hAnsi="仿宋" w:eastAsia="仿宋"/>
          <w:b w:val="0"/>
          <w:bCs/>
          <w:sz w:val="32"/>
          <w:szCs w:val="32"/>
          <w:highlight w:val="none"/>
        </w:rPr>
        <w:t>）</w:t>
      </w:r>
    </w:p>
    <w:p w14:paraId="3EF1C93F">
      <w:pPr>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b w:val="0"/>
          <w:bCs/>
          <w:sz w:val="32"/>
          <w:szCs w:val="32"/>
          <w:highlight w:val="none"/>
        </w:rPr>
      </w:pPr>
      <w:r>
        <w:rPr>
          <w:rFonts w:hint="eastAsia" w:ascii="仿宋" w:hAnsi="仿宋" w:eastAsia="仿宋"/>
          <w:b w:val="0"/>
          <w:bCs/>
          <w:sz w:val="32"/>
          <w:szCs w:val="32"/>
          <w:highlight w:val="none"/>
        </w:rPr>
        <w:t>6.参加公益类社团；（负责人</w:t>
      </w:r>
      <w:r>
        <w:rPr>
          <w:rFonts w:hint="eastAsia" w:ascii="仿宋" w:hAnsi="仿宋" w:eastAsia="仿宋"/>
          <w:b w:val="0"/>
          <w:bCs/>
          <w:sz w:val="32"/>
          <w:szCs w:val="32"/>
          <w:highlight w:val="none"/>
          <w:lang w:val="en-US" w:eastAsia="zh-CN"/>
        </w:rPr>
        <w:t>3</w:t>
      </w:r>
      <w:r>
        <w:rPr>
          <w:rFonts w:hint="eastAsia" w:ascii="仿宋" w:hAnsi="仿宋" w:eastAsia="仿宋"/>
          <w:b w:val="0"/>
          <w:bCs/>
          <w:sz w:val="32"/>
          <w:szCs w:val="32"/>
          <w:highlight w:val="none"/>
        </w:rPr>
        <w:t>分，队员</w:t>
      </w:r>
      <w:r>
        <w:rPr>
          <w:rFonts w:hint="eastAsia" w:ascii="仿宋" w:hAnsi="仿宋" w:eastAsia="仿宋"/>
          <w:b w:val="0"/>
          <w:bCs/>
          <w:sz w:val="32"/>
          <w:szCs w:val="32"/>
          <w:highlight w:val="none"/>
          <w:lang w:val="en-US" w:eastAsia="zh-CN"/>
        </w:rPr>
        <w:t>2</w:t>
      </w:r>
      <w:r>
        <w:rPr>
          <w:rFonts w:hint="eastAsia" w:ascii="仿宋" w:hAnsi="仿宋" w:eastAsia="仿宋"/>
          <w:b w:val="0"/>
          <w:bCs/>
          <w:sz w:val="32"/>
          <w:szCs w:val="32"/>
          <w:highlight w:val="none"/>
        </w:rPr>
        <w:t>分，上限</w:t>
      </w:r>
      <w:r>
        <w:rPr>
          <w:rFonts w:hint="eastAsia" w:ascii="仿宋" w:hAnsi="仿宋" w:eastAsia="仿宋"/>
          <w:b w:val="0"/>
          <w:bCs/>
          <w:sz w:val="32"/>
          <w:szCs w:val="32"/>
          <w:highlight w:val="none"/>
          <w:lang w:val="en-US" w:eastAsia="zh-CN"/>
        </w:rPr>
        <w:t>5</w:t>
      </w:r>
      <w:r>
        <w:rPr>
          <w:rFonts w:hint="eastAsia" w:ascii="仿宋" w:hAnsi="仿宋" w:eastAsia="仿宋"/>
          <w:b w:val="0"/>
          <w:bCs/>
          <w:sz w:val="32"/>
          <w:szCs w:val="32"/>
          <w:highlight w:val="none"/>
        </w:rPr>
        <w:t>分）</w:t>
      </w:r>
    </w:p>
    <w:p w14:paraId="78B81793">
      <w:pPr>
        <w:keepNext w:val="0"/>
        <w:keepLines w:val="0"/>
        <w:pageBreakBefore w:val="0"/>
        <w:widowControl w:val="0"/>
        <w:kinsoku/>
        <w:wordWrap/>
        <w:overflowPunct/>
        <w:topLinePunct w:val="0"/>
        <w:autoSpaceDE/>
        <w:autoSpaceDN/>
        <w:bidi w:val="0"/>
        <w:spacing w:after="120" w:line="560" w:lineRule="exact"/>
        <w:ind w:firstLine="640" w:firstLineChars="200"/>
        <w:textAlignment w:val="auto"/>
        <w:rPr>
          <w:rFonts w:hint="eastAsia" w:ascii="仿宋" w:hAnsi="仿宋" w:eastAsia="仿宋"/>
          <w:b w:val="0"/>
          <w:bCs/>
          <w:sz w:val="32"/>
          <w:szCs w:val="32"/>
          <w:highlight w:val="none"/>
          <w:lang w:val="en-US" w:eastAsia="zh-CN"/>
        </w:rPr>
      </w:pPr>
      <w:r>
        <w:rPr>
          <w:rFonts w:hint="eastAsia" w:ascii="仿宋" w:hAnsi="仿宋" w:eastAsia="仿宋"/>
          <w:b w:val="0"/>
          <w:bCs/>
          <w:sz w:val="32"/>
          <w:szCs w:val="32"/>
          <w:highlight w:val="none"/>
          <w:lang w:val="en-US" w:eastAsia="zh-CN"/>
        </w:rPr>
        <w:t>7.本学年志愿时长达50小时及以上（以志愿汇证书为准，加2分）</w:t>
      </w:r>
    </w:p>
    <w:p w14:paraId="43DBEAB0">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（二）社会实践（15分）</w:t>
      </w:r>
    </w:p>
    <w:p w14:paraId="74A8B936">
      <w:pPr>
        <w:keepNext w:val="0"/>
        <w:keepLines w:val="0"/>
        <w:pageBreakBefore w:val="0"/>
        <w:widowControl w:val="0"/>
        <w:kinsoku/>
        <w:wordWrap w:val="0"/>
        <w:overflowPunct/>
        <w:topLinePunct w:val="0"/>
        <w:autoSpaceDE w:val="0"/>
        <w:autoSpaceDN w:val="0"/>
        <w:bidi w:val="0"/>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1.积极参加各级各类社会实践大赛及获奖情况；</w:t>
      </w:r>
    </w:p>
    <w:tbl>
      <w:tblPr>
        <w:tblStyle w:val="12"/>
        <w:tblW w:w="8532"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8"/>
        <w:gridCol w:w="1949"/>
        <w:gridCol w:w="2088"/>
        <w:gridCol w:w="2047"/>
      </w:tblGrid>
      <w:tr w14:paraId="6978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4" w:hRule="atLeast"/>
        </w:trPr>
        <w:tc>
          <w:tcPr>
            <w:tcW w:w="2448" w:type="dxa"/>
            <w:vAlign w:val="center"/>
          </w:tcPr>
          <w:p w14:paraId="363B97B7">
            <w:pPr>
              <w:keepNext w:val="0"/>
              <w:keepLines w:val="0"/>
              <w:pageBreakBefore w:val="0"/>
              <w:widowControl w:val="0"/>
              <w:kinsoku/>
              <w:overflowPunct/>
              <w:topLinePunct w:val="0"/>
              <w:bidi w:val="0"/>
              <w:adjustRightInd w:val="0"/>
              <w:snapToGrid w:val="0"/>
              <w:spacing w:after="120" w:line="560" w:lineRule="exact"/>
              <w:ind w:firstLine="420"/>
              <w:jc w:val="center"/>
              <w:textAlignment w:val="auto"/>
              <w:rPr>
                <w:rFonts w:ascii="仿宋" w:hAnsi="仿宋" w:eastAsia="仿宋"/>
                <w:b w:val="0"/>
                <w:bCs/>
                <w:sz w:val="32"/>
                <w:szCs w:val="32"/>
                <w:highlight w:val="none"/>
              </w:rPr>
            </w:pPr>
            <w:r>
              <w:rPr>
                <w:rFonts w:ascii="仿宋" w:hAnsi="仿宋" w:eastAsia="仿宋"/>
                <w:b w:val="0"/>
                <w:bCs/>
                <w:position w:val="-28"/>
                <w:sz w:val="32"/>
                <w:szCs w:val="32"/>
                <w:highlight w:val="none"/>
              </w:rPr>
              <w:drawing>
                <wp:anchor distT="0" distB="0" distL="114300" distR="114300" simplePos="0" relativeHeight="251666432" behindDoc="1" locked="0" layoutInCell="1" allowOverlap="1">
                  <wp:simplePos x="0" y="0"/>
                  <wp:positionH relativeFrom="column">
                    <wp:posOffset>3810</wp:posOffset>
                  </wp:positionH>
                  <wp:positionV relativeFrom="paragraph">
                    <wp:posOffset>-635</wp:posOffset>
                  </wp:positionV>
                  <wp:extent cx="1551305" cy="714375"/>
                  <wp:effectExtent l="0" t="0" r="10795" b="9525"/>
                  <wp:wrapNone/>
                  <wp:docPr id="9" name="IM 14"/>
                  <wp:cNvGraphicFramePr/>
                  <a:graphic xmlns:a="http://schemas.openxmlformats.org/drawingml/2006/main">
                    <a:graphicData uri="http://schemas.openxmlformats.org/drawingml/2006/picture">
                      <pic:pic xmlns:pic="http://schemas.openxmlformats.org/drawingml/2006/picture">
                        <pic:nvPicPr>
                          <pic:cNvPr id="9" name="IM 14"/>
                          <pic:cNvPicPr/>
                        </pic:nvPicPr>
                        <pic:blipFill>
                          <a:blip r:embed="rId5"/>
                          <a:stretch>
                            <a:fillRect/>
                          </a:stretch>
                        </pic:blipFill>
                        <pic:spPr>
                          <a:xfrm>
                            <a:off x="0" y="0"/>
                            <a:ext cx="1551305" cy="714375"/>
                          </a:xfrm>
                          <a:prstGeom prst="rect">
                            <a:avLst/>
                          </a:prstGeom>
                          <a:noFill/>
                          <a:ln>
                            <a:noFill/>
                          </a:ln>
                        </pic:spPr>
                      </pic:pic>
                    </a:graphicData>
                  </a:graphic>
                </wp:anchor>
              </w:drawing>
            </w:r>
          </w:p>
        </w:tc>
        <w:tc>
          <w:tcPr>
            <w:tcW w:w="1949" w:type="dxa"/>
            <w:vAlign w:val="center"/>
          </w:tcPr>
          <w:p w14:paraId="255ED63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第一名</w:t>
            </w:r>
          </w:p>
        </w:tc>
        <w:tc>
          <w:tcPr>
            <w:tcW w:w="2088" w:type="dxa"/>
            <w:vAlign w:val="center"/>
          </w:tcPr>
          <w:p w14:paraId="5B86BA8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第二名</w:t>
            </w:r>
          </w:p>
        </w:tc>
        <w:tc>
          <w:tcPr>
            <w:tcW w:w="2047" w:type="dxa"/>
            <w:vAlign w:val="center"/>
          </w:tcPr>
          <w:p w14:paraId="737A2EC3">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hint="eastAsia" w:ascii="仿宋" w:hAnsi="仿宋" w:eastAsia="仿宋" w:cs="仿宋"/>
                <w:b w:val="0"/>
                <w:bCs/>
                <w:sz w:val="32"/>
                <w:szCs w:val="32"/>
                <w:highlight w:val="none"/>
              </w:rPr>
              <w:t>第三名</w:t>
            </w:r>
          </w:p>
        </w:tc>
      </w:tr>
      <w:tr w14:paraId="47AE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48" w:type="dxa"/>
            <w:vAlign w:val="center"/>
          </w:tcPr>
          <w:p w14:paraId="2582F64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25"/>
                <w:sz w:val="32"/>
                <w:szCs w:val="32"/>
                <w:highlight w:val="none"/>
              </w:rPr>
              <w:t>国家级</w:t>
            </w:r>
          </w:p>
        </w:tc>
        <w:tc>
          <w:tcPr>
            <w:tcW w:w="1949" w:type="dxa"/>
            <w:vAlign w:val="center"/>
          </w:tcPr>
          <w:p w14:paraId="4E9AA612">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3"/>
                <w:sz w:val="32"/>
                <w:szCs w:val="32"/>
                <w:highlight w:val="none"/>
                <w:lang w:val="en-US" w:eastAsia="zh-CN"/>
              </w:rPr>
              <w:t>1</w:t>
            </w:r>
            <w:r>
              <w:rPr>
                <w:rFonts w:ascii="仿宋" w:hAnsi="仿宋" w:eastAsia="仿宋"/>
                <w:b w:val="0"/>
                <w:bCs/>
                <w:spacing w:val="-3"/>
                <w:sz w:val="32"/>
                <w:szCs w:val="32"/>
                <w:highlight w:val="none"/>
              </w:rPr>
              <w:t>5.0</w:t>
            </w:r>
            <w:r>
              <w:rPr>
                <w:rFonts w:ascii="仿宋" w:hAnsi="仿宋" w:eastAsia="仿宋" w:cs="宋体"/>
                <w:b w:val="0"/>
                <w:bCs/>
                <w:spacing w:val="-3"/>
                <w:sz w:val="32"/>
                <w:szCs w:val="32"/>
                <w:highlight w:val="none"/>
              </w:rPr>
              <w:t>（</w:t>
            </w:r>
            <w:r>
              <w:rPr>
                <w:rFonts w:hint="eastAsia" w:ascii="仿宋" w:hAnsi="仿宋" w:eastAsia="仿宋"/>
                <w:b w:val="0"/>
                <w:bCs/>
                <w:spacing w:val="-3"/>
                <w:sz w:val="32"/>
                <w:szCs w:val="32"/>
                <w:highlight w:val="none"/>
                <w:lang w:val="en-US" w:eastAsia="zh-CN"/>
              </w:rPr>
              <w:t>13.0</w:t>
            </w:r>
            <w:r>
              <w:rPr>
                <w:rFonts w:ascii="仿宋" w:hAnsi="仿宋" w:eastAsia="仿宋" w:cs="宋体"/>
                <w:b w:val="0"/>
                <w:bCs/>
                <w:spacing w:val="-3"/>
                <w:sz w:val="32"/>
                <w:szCs w:val="32"/>
                <w:highlight w:val="none"/>
              </w:rPr>
              <w:t>）</w:t>
            </w:r>
          </w:p>
        </w:tc>
        <w:tc>
          <w:tcPr>
            <w:tcW w:w="2088" w:type="dxa"/>
            <w:vAlign w:val="center"/>
          </w:tcPr>
          <w:p w14:paraId="7F7A74DC">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z w:val="32"/>
                <w:szCs w:val="32"/>
                <w:highlight w:val="none"/>
                <w:lang w:val="en-US" w:eastAsia="zh-CN"/>
              </w:rPr>
              <w:t>14.0</w:t>
            </w:r>
            <w:r>
              <w:rPr>
                <w:rFonts w:ascii="仿宋" w:hAnsi="仿宋" w:eastAsia="仿宋" w:cs="宋体"/>
                <w:b w:val="0"/>
                <w:bCs/>
                <w:sz w:val="32"/>
                <w:szCs w:val="32"/>
                <w:highlight w:val="none"/>
              </w:rPr>
              <w:t>（</w:t>
            </w:r>
            <w:r>
              <w:rPr>
                <w:rFonts w:hint="eastAsia" w:ascii="仿宋" w:hAnsi="仿宋" w:eastAsia="仿宋"/>
                <w:b w:val="0"/>
                <w:bCs/>
                <w:sz w:val="32"/>
                <w:szCs w:val="32"/>
                <w:highlight w:val="none"/>
                <w:lang w:val="en-US" w:eastAsia="zh-CN"/>
              </w:rPr>
              <w:t>12.0</w:t>
            </w:r>
            <w:r>
              <w:rPr>
                <w:rFonts w:ascii="仿宋" w:hAnsi="仿宋" w:eastAsia="仿宋" w:cs="宋体"/>
                <w:b w:val="0"/>
                <w:bCs/>
                <w:sz w:val="32"/>
                <w:szCs w:val="32"/>
                <w:highlight w:val="none"/>
              </w:rPr>
              <w:t>）</w:t>
            </w:r>
          </w:p>
        </w:tc>
        <w:tc>
          <w:tcPr>
            <w:tcW w:w="2047" w:type="dxa"/>
            <w:vAlign w:val="center"/>
          </w:tcPr>
          <w:p w14:paraId="4FC09B8B">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5"/>
                <w:sz w:val="32"/>
                <w:szCs w:val="32"/>
                <w:highlight w:val="none"/>
                <w:lang w:val="en-US" w:eastAsia="zh-CN"/>
              </w:rPr>
              <w:t>13.0</w:t>
            </w:r>
            <w:r>
              <w:rPr>
                <w:rFonts w:ascii="仿宋" w:hAnsi="仿宋" w:eastAsia="仿宋" w:cs="宋体"/>
                <w:b w:val="0"/>
                <w:bCs/>
                <w:spacing w:val="-5"/>
                <w:sz w:val="32"/>
                <w:szCs w:val="32"/>
                <w:highlight w:val="none"/>
              </w:rPr>
              <w:t>（</w:t>
            </w:r>
            <w:r>
              <w:rPr>
                <w:rFonts w:hint="eastAsia" w:ascii="仿宋" w:hAnsi="仿宋" w:eastAsia="仿宋"/>
                <w:b w:val="0"/>
                <w:bCs/>
                <w:spacing w:val="-5"/>
                <w:sz w:val="32"/>
                <w:szCs w:val="32"/>
                <w:highlight w:val="none"/>
                <w:lang w:val="en-US" w:eastAsia="zh-CN"/>
              </w:rPr>
              <w:t>11.0</w:t>
            </w:r>
            <w:r>
              <w:rPr>
                <w:rFonts w:ascii="仿宋" w:hAnsi="仿宋" w:eastAsia="仿宋" w:cs="宋体"/>
                <w:b w:val="0"/>
                <w:bCs/>
                <w:spacing w:val="-5"/>
                <w:sz w:val="32"/>
                <w:szCs w:val="32"/>
                <w:highlight w:val="none"/>
              </w:rPr>
              <w:t>）</w:t>
            </w:r>
          </w:p>
        </w:tc>
      </w:tr>
      <w:tr w14:paraId="3548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48" w:type="dxa"/>
            <w:vAlign w:val="center"/>
          </w:tcPr>
          <w:p w14:paraId="1AB99DF5">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11"/>
                <w:sz w:val="32"/>
                <w:szCs w:val="32"/>
                <w:highlight w:val="none"/>
              </w:rPr>
              <w:t>省部级</w:t>
            </w:r>
          </w:p>
        </w:tc>
        <w:tc>
          <w:tcPr>
            <w:tcW w:w="1949" w:type="dxa"/>
            <w:vAlign w:val="center"/>
          </w:tcPr>
          <w:p w14:paraId="344986A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5"/>
                <w:sz w:val="32"/>
                <w:szCs w:val="32"/>
                <w:highlight w:val="none"/>
                <w:lang w:val="en-US" w:eastAsia="zh-CN"/>
              </w:rPr>
              <w:t>12.0</w:t>
            </w:r>
            <w:r>
              <w:rPr>
                <w:rFonts w:ascii="仿宋" w:hAnsi="仿宋" w:eastAsia="仿宋" w:cs="宋体"/>
                <w:b w:val="0"/>
                <w:bCs/>
                <w:spacing w:val="-5"/>
                <w:sz w:val="32"/>
                <w:szCs w:val="32"/>
                <w:highlight w:val="none"/>
              </w:rPr>
              <w:t>（</w:t>
            </w:r>
            <w:r>
              <w:rPr>
                <w:rFonts w:hint="eastAsia" w:ascii="仿宋" w:hAnsi="仿宋" w:eastAsia="仿宋"/>
                <w:b w:val="0"/>
                <w:bCs/>
                <w:spacing w:val="-5"/>
                <w:sz w:val="32"/>
                <w:szCs w:val="32"/>
                <w:highlight w:val="none"/>
                <w:lang w:val="en-US" w:eastAsia="zh-CN"/>
              </w:rPr>
              <w:t>10.0</w:t>
            </w:r>
            <w:r>
              <w:rPr>
                <w:rFonts w:ascii="仿宋" w:hAnsi="仿宋" w:eastAsia="仿宋" w:cs="宋体"/>
                <w:b w:val="0"/>
                <w:bCs/>
                <w:spacing w:val="-5"/>
                <w:sz w:val="32"/>
                <w:szCs w:val="32"/>
                <w:highlight w:val="none"/>
              </w:rPr>
              <w:t>）</w:t>
            </w:r>
          </w:p>
        </w:tc>
        <w:tc>
          <w:tcPr>
            <w:tcW w:w="2088" w:type="dxa"/>
            <w:vAlign w:val="center"/>
          </w:tcPr>
          <w:p w14:paraId="17C43AD6">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2"/>
                <w:sz w:val="32"/>
                <w:szCs w:val="32"/>
                <w:highlight w:val="none"/>
                <w:lang w:val="en-US" w:eastAsia="zh-CN"/>
              </w:rPr>
              <w:t>11.0</w:t>
            </w:r>
            <w:r>
              <w:rPr>
                <w:rFonts w:ascii="仿宋" w:hAnsi="仿宋" w:eastAsia="仿宋" w:cs="宋体"/>
                <w:b w:val="0"/>
                <w:bCs/>
                <w:spacing w:val="-2"/>
                <w:sz w:val="32"/>
                <w:szCs w:val="32"/>
                <w:highlight w:val="none"/>
              </w:rPr>
              <w:t>（</w:t>
            </w:r>
            <w:r>
              <w:rPr>
                <w:rFonts w:hint="eastAsia" w:ascii="仿宋" w:hAnsi="仿宋" w:eastAsia="仿宋" w:cs="宋体"/>
                <w:b w:val="0"/>
                <w:bCs/>
                <w:spacing w:val="-2"/>
                <w:sz w:val="32"/>
                <w:szCs w:val="32"/>
                <w:highlight w:val="none"/>
                <w:lang w:val="en-US" w:eastAsia="zh-CN"/>
              </w:rPr>
              <w:t>9</w:t>
            </w:r>
            <w:r>
              <w:rPr>
                <w:rFonts w:hint="eastAsia" w:ascii="仿宋" w:hAnsi="仿宋" w:eastAsia="仿宋"/>
                <w:b w:val="0"/>
                <w:bCs/>
                <w:spacing w:val="-2"/>
                <w:sz w:val="32"/>
                <w:szCs w:val="32"/>
                <w:highlight w:val="none"/>
                <w:lang w:val="en-US" w:eastAsia="zh-CN"/>
              </w:rPr>
              <w:t>.0</w:t>
            </w:r>
            <w:r>
              <w:rPr>
                <w:rFonts w:ascii="仿宋" w:hAnsi="仿宋" w:eastAsia="仿宋" w:cs="宋体"/>
                <w:b w:val="0"/>
                <w:bCs/>
                <w:spacing w:val="-2"/>
                <w:sz w:val="32"/>
                <w:szCs w:val="32"/>
                <w:highlight w:val="none"/>
              </w:rPr>
              <w:t>）</w:t>
            </w:r>
          </w:p>
        </w:tc>
        <w:tc>
          <w:tcPr>
            <w:tcW w:w="2047" w:type="dxa"/>
            <w:vAlign w:val="center"/>
          </w:tcPr>
          <w:p w14:paraId="0CD4F067">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2"/>
                <w:sz w:val="32"/>
                <w:szCs w:val="32"/>
                <w:highlight w:val="none"/>
                <w:lang w:val="en-US" w:eastAsia="zh-CN"/>
              </w:rPr>
              <w:t>10.0</w:t>
            </w:r>
            <w:r>
              <w:rPr>
                <w:rFonts w:ascii="仿宋" w:hAnsi="仿宋" w:eastAsia="仿宋" w:cs="宋体"/>
                <w:b w:val="0"/>
                <w:bCs/>
                <w:spacing w:val="-2"/>
                <w:sz w:val="32"/>
                <w:szCs w:val="32"/>
                <w:highlight w:val="none"/>
              </w:rPr>
              <w:t>（</w:t>
            </w:r>
            <w:r>
              <w:rPr>
                <w:rFonts w:hint="eastAsia" w:ascii="仿宋" w:hAnsi="仿宋" w:eastAsia="仿宋"/>
                <w:b w:val="0"/>
                <w:bCs/>
                <w:spacing w:val="-2"/>
                <w:sz w:val="32"/>
                <w:szCs w:val="32"/>
                <w:highlight w:val="none"/>
                <w:lang w:val="en-US" w:eastAsia="zh-CN"/>
              </w:rPr>
              <w:t>8.0</w:t>
            </w:r>
            <w:r>
              <w:rPr>
                <w:rFonts w:ascii="仿宋" w:hAnsi="仿宋" w:eastAsia="仿宋" w:cs="宋体"/>
                <w:b w:val="0"/>
                <w:bCs/>
                <w:spacing w:val="-2"/>
                <w:sz w:val="32"/>
                <w:szCs w:val="32"/>
                <w:highlight w:val="none"/>
              </w:rPr>
              <w:t>）</w:t>
            </w:r>
          </w:p>
        </w:tc>
      </w:tr>
      <w:tr w14:paraId="7953D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48" w:type="dxa"/>
            <w:vAlign w:val="center"/>
          </w:tcPr>
          <w:p w14:paraId="08EBC64A">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9"/>
                <w:sz w:val="32"/>
                <w:szCs w:val="32"/>
                <w:highlight w:val="none"/>
              </w:rPr>
              <w:t>校级</w:t>
            </w:r>
          </w:p>
        </w:tc>
        <w:tc>
          <w:tcPr>
            <w:tcW w:w="1949" w:type="dxa"/>
            <w:vAlign w:val="center"/>
          </w:tcPr>
          <w:p w14:paraId="2C5292C0">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2"/>
                <w:sz w:val="32"/>
                <w:szCs w:val="32"/>
                <w:highlight w:val="none"/>
                <w:lang w:val="en-US" w:eastAsia="zh-CN"/>
              </w:rPr>
              <w:t>9.0</w:t>
            </w:r>
            <w:r>
              <w:rPr>
                <w:rFonts w:ascii="仿宋" w:hAnsi="仿宋" w:eastAsia="仿宋" w:cs="宋体"/>
                <w:b w:val="0"/>
                <w:bCs/>
                <w:spacing w:val="-2"/>
                <w:sz w:val="32"/>
                <w:szCs w:val="32"/>
                <w:highlight w:val="none"/>
              </w:rPr>
              <w:t>（</w:t>
            </w:r>
            <w:r>
              <w:rPr>
                <w:rFonts w:hint="eastAsia" w:ascii="仿宋" w:hAnsi="仿宋" w:eastAsia="仿宋"/>
                <w:b w:val="0"/>
                <w:bCs/>
                <w:spacing w:val="-2"/>
                <w:sz w:val="32"/>
                <w:szCs w:val="32"/>
                <w:highlight w:val="none"/>
                <w:lang w:val="en-US" w:eastAsia="zh-CN"/>
              </w:rPr>
              <w:t>7.0</w:t>
            </w:r>
            <w:r>
              <w:rPr>
                <w:rFonts w:ascii="仿宋" w:hAnsi="仿宋" w:eastAsia="仿宋" w:cs="宋体"/>
                <w:b w:val="0"/>
                <w:bCs/>
                <w:spacing w:val="-2"/>
                <w:sz w:val="32"/>
                <w:szCs w:val="32"/>
                <w:highlight w:val="none"/>
              </w:rPr>
              <w:t>）</w:t>
            </w:r>
          </w:p>
        </w:tc>
        <w:tc>
          <w:tcPr>
            <w:tcW w:w="2088" w:type="dxa"/>
            <w:vAlign w:val="center"/>
          </w:tcPr>
          <w:p w14:paraId="34EE9EC8">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8.0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6.0</w:t>
            </w:r>
            <w:r>
              <w:rPr>
                <w:rFonts w:ascii="仿宋" w:hAnsi="仿宋" w:eastAsia="仿宋" w:cs="宋体"/>
                <w:b w:val="0"/>
                <w:bCs/>
                <w:spacing w:val="-1"/>
                <w:sz w:val="32"/>
                <w:szCs w:val="32"/>
                <w:highlight w:val="none"/>
              </w:rPr>
              <w:t>）</w:t>
            </w:r>
          </w:p>
        </w:tc>
        <w:tc>
          <w:tcPr>
            <w:tcW w:w="2047" w:type="dxa"/>
            <w:vAlign w:val="center"/>
          </w:tcPr>
          <w:p w14:paraId="48459249">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7.0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5.0</w:t>
            </w:r>
            <w:r>
              <w:rPr>
                <w:rFonts w:ascii="仿宋" w:hAnsi="仿宋" w:eastAsia="仿宋" w:cs="宋体"/>
                <w:b w:val="0"/>
                <w:bCs/>
                <w:spacing w:val="-1"/>
                <w:sz w:val="32"/>
                <w:szCs w:val="32"/>
                <w:highlight w:val="none"/>
              </w:rPr>
              <w:t>）</w:t>
            </w:r>
          </w:p>
        </w:tc>
      </w:tr>
      <w:tr w14:paraId="06A76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448" w:type="dxa"/>
            <w:vAlign w:val="center"/>
          </w:tcPr>
          <w:p w14:paraId="64279344">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仿宋"/>
                <w:b w:val="0"/>
                <w:bCs/>
                <w:sz w:val="32"/>
                <w:szCs w:val="32"/>
                <w:highlight w:val="none"/>
              </w:rPr>
            </w:pPr>
            <w:r>
              <w:rPr>
                <w:rFonts w:ascii="仿宋" w:hAnsi="仿宋" w:eastAsia="仿宋" w:cs="仿宋"/>
                <w:b w:val="0"/>
                <w:bCs/>
                <w:spacing w:val="-18"/>
                <w:sz w:val="32"/>
                <w:szCs w:val="32"/>
                <w:highlight w:val="none"/>
              </w:rPr>
              <w:t>院级</w:t>
            </w:r>
          </w:p>
        </w:tc>
        <w:tc>
          <w:tcPr>
            <w:tcW w:w="1949" w:type="dxa"/>
            <w:vAlign w:val="center"/>
          </w:tcPr>
          <w:p w14:paraId="46BE6EE9">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6.0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4.0</w:t>
            </w:r>
            <w:r>
              <w:rPr>
                <w:rFonts w:ascii="仿宋" w:hAnsi="仿宋" w:eastAsia="仿宋" w:cs="宋体"/>
                <w:b w:val="0"/>
                <w:bCs/>
                <w:spacing w:val="-1"/>
                <w:sz w:val="32"/>
                <w:szCs w:val="32"/>
                <w:highlight w:val="none"/>
              </w:rPr>
              <w:t>）</w:t>
            </w:r>
          </w:p>
        </w:tc>
        <w:tc>
          <w:tcPr>
            <w:tcW w:w="2088" w:type="dxa"/>
            <w:vAlign w:val="center"/>
          </w:tcPr>
          <w:p w14:paraId="04AC3DBE">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1"/>
                <w:sz w:val="32"/>
                <w:szCs w:val="32"/>
                <w:highlight w:val="none"/>
                <w:lang w:val="en-US" w:eastAsia="zh-CN"/>
              </w:rPr>
              <w:t>5.0</w:t>
            </w:r>
            <w:r>
              <w:rPr>
                <w:rFonts w:ascii="仿宋" w:hAnsi="仿宋" w:eastAsia="仿宋" w:cs="宋体"/>
                <w:b w:val="0"/>
                <w:bCs/>
                <w:spacing w:val="-1"/>
                <w:sz w:val="32"/>
                <w:szCs w:val="32"/>
                <w:highlight w:val="none"/>
              </w:rPr>
              <w:t>（</w:t>
            </w:r>
            <w:r>
              <w:rPr>
                <w:rFonts w:hint="eastAsia" w:ascii="仿宋" w:hAnsi="仿宋" w:eastAsia="仿宋"/>
                <w:b w:val="0"/>
                <w:bCs/>
                <w:spacing w:val="-1"/>
                <w:sz w:val="32"/>
                <w:szCs w:val="32"/>
                <w:highlight w:val="none"/>
                <w:lang w:val="en-US" w:eastAsia="zh-CN"/>
              </w:rPr>
              <w:t>3.0</w:t>
            </w:r>
            <w:r>
              <w:rPr>
                <w:rFonts w:ascii="仿宋" w:hAnsi="仿宋" w:eastAsia="仿宋" w:cs="宋体"/>
                <w:b w:val="0"/>
                <w:bCs/>
                <w:spacing w:val="-1"/>
                <w:sz w:val="32"/>
                <w:szCs w:val="32"/>
                <w:highlight w:val="none"/>
              </w:rPr>
              <w:t>）</w:t>
            </w:r>
          </w:p>
        </w:tc>
        <w:tc>
          <w:tcPr>
            <w:tcW w:w="2047" w:type="dxa"/>
            <w:vAlign w:val="center"/>
          </w:tcPr>
          <w:p w14:paraId="4D84E3D5">
            <w:pPr>
              <w:keepNext w:val="0"/>
              <w:keepLines w:val="0"/>
              <w:pageBreakBefore w:val="0"/>
              <w:widowControl w:val="0"/>
              <w:kinsoku/>
              <w:overflowPunct/>
              <w:topLinePunct w:val="0"/>
              <w:bidi w:val="0"/>
              <w:adjustRightInd w:val="0"/>
              <w:snapToGrid w:val="0"/>
              <w:spacing w:after="120" w:line="560" w:lineRule="exact"/>
              <w:jc w:val="center"/>
              <w:textAlignment w:val="auto"/>
              <w:rPr>
                <w:rFonts w:ascii="仿宋" w:hAnsi="仿宋" w:eastAsia="仿宋" w:cs="宋体"/>
                <w:b w:val="0"/>
                <w:bCs/>
                <w:sz w:val="32"/>
                <w:szCs w:val="32"/>
                <w:highlight w:val="none"/>
              </w:rPr>
            </w:pPr>
            <w:r>
              <w:rPr>
                <w:rFonts w:hint="eastAsia" w:ascii="仿宋" w:hAnsi="仿宋" w:eastAsia="仿宋"/>
                <w:b w:val="0"/>
                <w:bCs/>
                <w:spacing w:val="-4"/>
                <w:sz w:val="32"/>
                <w:szCs w:val="32"/>
                <w:highlight w:val="none"/>
                <w:lang w:val="en-US" w:eastAsia="zh-CN"/>
              </w:rPr>
              <w:t>4.0</w:t>
            </w:r>
            <w:r>
              <w:rPr>
                <w:rFonts w:ascii="仿宋" w:hAnsi="仿宋" w:eastAsia="仿宋" w:cs="宋体"/>
                <w:b w:val="0"/>
                <w:bCs/>
                <w:spacing w:val="-4"/>
                <w:sz w:val="32"/>
                <w:szCs w:val="32"/>
                <w:highlight w:val="none"/>
              </w:rPr>
              <w:t>（</w:t>
            </w:r>
            <w:r>
              <w:rPr>
                <w:rFonts w:hint="eastAsia" w:ascii="仿宋" w:hAnsi="仿宋" w:eastAsia="仿宋"/>
                <w:b w:val="0"/>
                <w:bCs/>
                <w:spacing w:val="-4"/>
                <w:sz w:val="32"/>
                <w:szCs w:val="32"/>
                <w:highlight w:val="none"/>
                <w:lang w:val="en-US" w:eastAsia="zh-CN"/>
              </w:rPr>
              <w:t>2.0</w:t>
            </w:r>
            <w:r>
              <w:rPr>
                <w:rFonts w:ascii="仿宋" w:hAnsi="仿宋" w:eastAsia="仿宋" w:cs="宋体"/>
                <w:b w:val="0"/>
                <w:bCs/>
                <w:spacing w:val="-4"/>
                <w:sz w:val="32"/>
                <w:szCs w:val="32"/>
                <w:highlight w:val="none"/>
              </w:rPr>
              <w:t>）</w:t>
            </w:r>
          </w:p>
        </w:tc>
      </w:tr>
    </w:tbl>
    <w:p w14:paraId="15176FA7">
      <w:pPr>
        <w:keepNext w:val="0"/>
        <w:keepLines w:val="0"/>
        <w:pageBreakBefore w:val="0"/>
        <w:widowControl w:val="0"/>
        <w:kinsoku/>
        <w:overflowPunct/>
        <w:topLinePunct w:val="0"/>
        <w:bidi w:val="0"/>
        <w:spacing w:after="120" w:line="560" w:lineRule="exact"/>
        <w:ind w:firstLine="560" w:firstLineChars="200"/>
        <w:textAlignment w:val="auto"/>
        <w:rPr>
          <w:rFonts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备注：括号外是队长的分数，括号内是队员的分数。</w:t>
      </w:r>
    </w:p>
    <w:p w14:paraId="340C3E16">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2.积极参与寒假“返家乡”暑期“三下乡”“青年红色筑梦之旅”“小我融入大我，青春献给祖国”“青年实干家计划”等社会实践活动。（</w:t>
      </w:r>
      <w:r>
        <w:rPr>
          <w:rFonts w:hint="eastAsia" w:ascii="仿宋" w:hAnsi="仿宋" w:eastAsia="仿宋"/>
          <w:b w:val="0"/>
          <w:bCs/>
          <w:color w:val="000000"/>
          <w:sz w:val="32"/>
          <w:szCs w:val="32"/>
          <w:highlight w:val="none"/>
        </w:rPr>
        <w:t>队长加</w:t>
      </w:r>
      <w:r>
        <w:rPr>
          <w:rFonts w:hint="eastAsia" w:ascii="仿宋" w:hAnsi="仿宋" w:eastAsia="仿宋"/>
          <w:b w:val="0"/>
          <w:bCs/>
          <w:color w:val="000000"/>
          <w:sz w:val="32"/>
          <w:szCs w:val="32"/>
          <w:highlight w:val="none"/>
          <w:lang w:val="en-US" w:eastAsia="zh-CN"/>
        </w:rPr>
        <w:t>4</w:t>
      </w:r>
      <w:r>
        <w:rPr>
          <w:rFonts w:hint="eastAsia" w:ascii="仿宋" w:hAnsi="仿宋" w:eastAsia="仿宋"/>
          <w:b w:val="0"/>
          <w:bCs/>
          <w:color w:val="000000"/>
          <w:sz w:val="32"/>
          <w:szCs w:val="32"/>
          <w:highlight w:val="none"/>
        </w:rPr>
        <w:t>分，队员加</w:t>
      </w:r>
      <w:r>
        <w:rPr>
          <w:rFonts w:hint="eastAsia" w:ascii="仿宋" w:hAnsi="仿宋" w:eastAsia="仿宋"/>
          <w:b w:val="0"/>
          <w:bCs/>
          <w:color w:val="000000"/>
          <w:sz w:val="32"/>
          <w:szCs w:val="32"/>
          <w:highlight w:val="none"/>
          <w:lang w:val="en-US" w:eastAsia="zh-CN"/>
        </w:rPr>
        <w:t>3</w:t>
      </w:r>
      <w:r>
        <w:rPr>
          <w:rFonts w:hint="eastAsia" w:ascii="仿宋" w:hAnsi="仿宋" w:eastAsia="仿宋"/>
          <w:b w:val="0"/>
          <w:bCs/>
          <w:color w:val="000000"/>
          <w:sz w:val="32"/>
          <w:szCs w:val="32"/>
          <w:highlight w:val="none"/>
        </w:rPr>
        <w:t>分，考核优秀者额外加1分</w:t>
      </w:r>
      <w:r>
        <w:rPr>
          <w:rFonts w:hint="eastAsia" w:ascii="仿宋" w:hAnsi="仿宋" w:eastAsia="仿宋"/>
          <w:b w:val="0"/>
          <w:bCs/>
          <w:color w:val="000000"/>
          <w:sz w:val="32"/>
          <w:szCs w:val="32"/>
          <w:highlight w:val="none"/>
          <w:lang w:eastAsia="zh-CN"/>
        </w:rPr>
        <w:t>，</w:t>
      </w:r>
      <w:r>
        <w:rPr>
          <w:rFonts w:hint="eastAsia" w:ascii="仿宋" w:hAnsi="仿宋" w:eastAsia="仿宋"/>
          <w:b w:val="0"/>
          <w:bCs/>
          <w:color w:val="000000"/>
          <w:sz w:val="32"/>
          <w:szCs w:val="32"/>
          <w:highlight w:val="none"/>
          <w:lang w:val="en-US" w:eastAsia="zh-CN"/>
        </w:rPr>
        <w:t>上限10分</w:t>
      </w:r>
      <w:r>
        <w:rPr>
          <w:rFonts w:hint="eastAsia" w:ascii="仿宋" w:hAnsi="仿宋" w:eastAsia="仿宋" w:cs="仿宋"/>
          <w:b w:val="0"/>
          <w:bCs/>
          <w:color w:val="000000"/>
          <w:sz w:val="32"/>
          <w:szCs w:val="32"/>
          <w:highlight w:val="none"/>
        </w:rPr>
        <w:t>）</w:t>
      </w:r>
    </w:p>
    <w:p w14:paraId="522CCAD6">
      <w:pPr>
        <w:keepNext w:val="0"/>
        <w:keepLines w:val="0"/>
        <w:pageBreakBefore w:val="0"/>
        <w:widowControl w:val="0"/>
        <w:kinsoku/>
        <w:overflowPunct/>
        <w:topLinePunct w:val="0"/>
        <w:bidi w:val="0"/>
        <w:adjustRightInd/>
        <w:snapToGrid/>
        <w:spacing w:after="120" w:line="560" w:lineRule="exact"/>
        <w:ind w:firstLine="640" w:firstLineChars="200"/>
        <w:textAlignment w:val="auto"/>
        <w:rPr>
          <w:rFonts w:hint="eastAsia" w:ascii="仿宋" w:hAnsi="仿宋" w:eastAsia="仿宋"/>
          <w:b w:val="0"/>
          <w:bCs/>
          <w:sz w:val="32"/>
          <w:szCs w:val="32"/>
          <w:highlight w:val="none"/>
        </w:rPr>
      </w:pPr>
      <w:r>
        <w:rPr>
          <w:rFonts w:hint="eastAsia" w:ascii="仿宋" w:hAnsi="仿宋" w:eastAsia="仿宋" w:cs="仿宋"/>
          <w:b w:val="0"/>
          <w:bCs/>
          <w:color w:val="000000"/>
          <w:sz w:val="32"/>
          <w:szCs w:val="32"/>
          <w:highlight w:val="none"/>
        </w:rPr>
        <w:t>3.</w:t>
      </w:r>
      <w:r>
        <w:rPr>
          <w:rFonts w:hint="eastAsia" w:ascii="仿宋" w:hAnsi="仿宋" w:eastAsia="仿宋"/>
          <w:b w:val="0"/>
          <w:bCs/>
          <w:color w:val="000000"/>
          <w:sz w:val="32"/>
          <w:szCs w:val="32"/>
          <w:highlight w:val="none"/>
        </w:rPr>
        <w:t>参加</w:t>
      </w:r>
      <w:r>
        <w:rPr>
          <w:rFonts w:hint="eastAsia" w:ascii="仿宋" w:hAnsi="仿宋" w:eastAsia="仿宋" w:cs="仿宋"/>
          <w:b w:val="0"/>
          <w:bCs/>
          <w:color w:val="000000"/>
          <w:sz w:val="32"/>
          <w:szCs w:val="32"/>
          <w:highlight w:val="none"/>
        </w:rPr>
        <w:t>“大学生就业实习见习计划”、</w:t>
      </w:r>
      <w:r>
        <w:rPr>
          <w:rFonts w:hint="eastAsia" w:ascii="仿宋" w:hAnsi="仿宋" w:eastAsia="仿宋"/>
          <w:b w:val="0"/>
          <w:bCs/>
          <w:color w:val="000000"/>
          <w:sz w:val="32"/>
          <w:szCs w:val="32"/>
          <w:highlight w:val="none"/>
        </w:rPr>
        <w:t>扬帆计划等实践活动，在政府机关、企业单位等组织（</w:t>
      </w:r>
      <w:r>
        <w:rPr>
          <w:rFonts w:hint="eastAsia" w:ascii="仿宋" w:hAnsi="仿宋" w:eastAsia="仿宋"/>
          <w:b w:val="0"/>
          <w:bCs/>
          <w:color w:val="000000"/>
          <w:sz w:val="32"/>
          <w:szCs w:val="32"/>
          <w:highlight w:val="none"/>
          <w:lang w:val="en-US" w:eastAsia="zh-CN"/>
        </w:rPr>
        <w:t>5</w:t>
      </w:r>
      <w:r>
        <w:rPr>
          <w:rFonts w:hint="eastAsia" w:ascii="仿宋" w:hAnsi="仿宋" w:eastAsia="仿宋"/>
          <w:b w:val="0"/>
          <w:bCs/>
          <w:color w:val="000000"/>
          <w:sz w:val="32"/>
          <w:szCs w:val="32"/>
          <w:highlight w:val="none"/>
        </w:rPr>
        <w:t>分/次，需要提供学生就业实习协议、学生个人实习报告、用人单位鉴定表等材料，教学实习不纳入范围</w:t>
      </w:r>
      <w:r>
        <w:rPr>
          <w:rFonts w:hint="eastAsia" w:ascii="仿宋" w:hAnsi="仿宋" w:eastAsia="仿宋"/>
          <w:b w:val="0"/>
          <w:bCs/>
          <w:color w:val="000000"/>
          <w:sz w:val="32"/>
          <w:szCs w:val="32"/>
          <w:highlight w:val="none"/>
          <w:lang w:eastAsia="zh-CN"/>
        </w:rPr>
        <w:t>，</w:t>
      </w:r>
      <w:r>
        <w:rPr>
          <w:rFonts w:hint="eastAsia" w:ascii="仿宋" w:hAnsi="仿宋" w:eastAsia="仿宋"/>
          <w:b w:val="0"/>
          <w:bCs/>
          <w:color w:val="000000"/>
          <w:sz w:val="32"/>
          <w:szCs w:val="32"/>
          <w:highlight w:val="none"/>
          <w:lang w:val="en-US" w:eastAsia="zh-CN"/>
        </w:rPr>
        <w:t>上限10分</w:t>
      </w:r>
      <w:r>
        <w:rPr>
          <w:rFonts w:hint="eastAsia" w:ascii="仿宋" w:hAnsi="仿宋" w:eastAsia="仿宋"/>
          <w:b w:val="0"/>
          <w:bCs/>
          <w:sz w:val="32"/>
          <w:szCs w:val="32"/>
          <w:highlight w:val="none"/>
        </w:rPr>
        <w:t>）</w:t>
      </w:r>
    </w:p>
    <w:p w14:paraId="1283BD0F">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sz w:val="32"/>
          <w:szCs w:val="32"/>
          <w:highlight w:val="none"/>
        </w:rPr>
      </w:pPr>
      <w:r>
        <w:rPr>
          <w:rFonts w:hint="eastAsia" w:ascii="仿宋" w:hAnsi="仿宋" w:eastAsia="仿宋" w:cs="仿宋"/>
          <w:b w:val="0"/>
          <w:bCs/>
          <w:color w:val="000000"/>
          <w:sz w:val="32"/>
          <w:szCs w:val="32"/>
          <w:highlight w:val="none"/>
        </w:rPr>
        <w:t>（三）校园服务（10分）</w:t>
      </w:r>
    </w:p>
    <w:p w14:paraId="6766BEF0">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1.参与文明教室、文明宿舍、文明食堂、文明实验室、文明社区等各类文明校园创建活动；（</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r>
        <w:rPr>
          <w:rFonts w:hint="eastAsia" w:ascii="仿宋" w:hAnsi="仿宋" w:eastAsia="仿宋"/>
          <w:b w:val="0"/>
          <w:bCs/>
          <w:sz w:val="32"/>
          <w:szCs w:val="32"/>
          <w:highlight w:val="none"/>
        </w:rPr>
        <w:t>上限5分）</w:t>
      </w:r>
    </w:p>
    <w:p w14:paraId="02660D1D">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2.参与校园公共环境卫生清扫和绿化美化等活动，如清理落叶、擦拭公共设施、种植养护花草树木等；（</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r>
        <w:rPr>
          <w:rFonts w:hint="eastAsia" w:ascii="仿宋" w:hAnsi="仿宋" w:eastAsia="仿宋"/>
          <w:b w:val="0"/>
          <w:bCs/>
          <w:sz w:val="32"/>
          <w:szCs w:val="32"/>
          <w:highlight w:val="none"/>
        </w:rPr>
        <w:t>上限</w:t>
      </w:r>
      <w:r>
        <w:rPr>
          <w:rFonts w:hint="eastAsia" w:ascii="仿宋" w:hAnsi="仿宋" w:eastAsia="仿宋"/>
          <w:b w:val="0"/>
          <w:bCs/>
          <w:sz w:val="32"/>
          <w:szCs w:val="32"/>
          <w:highlight w:val="none"/>
          <w:lang w:val="en-US" w:eastAsia="zh-CN"/>
        </w:rPr>
        <w:t>5</w:t>
      </w:r>
      <w:r>
        <w:rPr>
          <w:rFonts w:hint="eastAsia" w:ascii="仿宋" w:hAnsi="仿宋" w:eastAsia="仿宋"/>
          <w:b w:val="0"/>
          <w:bCs/>
          <w:sz w:val="32"/>
          <w:szCs w:val="32"/>
          <w:highlight w:val="none"/>
        </w:rPr>
        <w:t>分）</w:t>
      </w:r>
    </w:p>
    <w:p w14:paraId="00A4B693">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3.参与校园大型活动（如运动会、文艺晚会、迎新毕业典礼、学术会议等）的志愿服务、秩序维护或后勤保障工作；（</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r>
        <w:rPr>
          <w:rFonts w:hint="eastAsia" w:ascii="仿宋" w:hAnsi="仿宋" w:eastAsia="仿宋"/>
          <w:b w:val="0"/>
          <w:bCs/>
          <w:sz w:val="32"/>
          <w:szCs w:val="32"/>
          <w:highlight w:val="none"/>
        </w:rPr>
        <w:t>上限</w:t>
      </w:r>
      <w:r>
        <w:rPr>
          <w:rFonts w:hint="eastAsia" w:ascii="仿宋" w:hAnsi="仿宋" w:eastAsia="仿宋"/>
          <w:b w:val="0"/>
          <w:bCs/>
          <w:sz w:val="32"/>
          <w:szCs w:val="32"/>
          <w:highlight w:val="none"/>
          <w:lang w:val="en-US" w:eastAsia="zh-CN"/>
        </w:rPr>
        <w:t>5</w:t>
      </w:r>
      <w:r>
        <w:rPr>
          <w:rFonts w:hint="eastAsia" w:ascii="仿宋" w:hAnsi="仿宋" w:eastAsia="仿宋"/>
          <w:b w:val="0"/>
          <w:bCs/>
          <w:sz w:val="32"/>
          <w:szCs w:val="32"/>
          <w:highlight w:val="none"/>
        </w:rPr>
        <w:t>分）</w:t>
      </w:r>
    </w:p>
    <w:p w14:paraId="081FE769">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4.参与校园节能减排、垃圾分类宣传与督导、电动车规范摆放、节水节电巡查等环保文明倡导活动；（</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r>
        <w:rPr>
          <w:rFonts w:hint="eastAsia" w:ascii="仿宋" w:hAnsi="仿宋" w:eastAsia="仿宋"/>
          <w:b w:val="0"/>
          <w:bCs/>
          <w:sz w:val="32"/>
          <w:szCs w:val="32"/>
          <w:highlight w:val="none"/>
        </w:rPr>
        <w:t>上限</w:t>
      </w:r>
      <w:r>
        <w:rPr>
          <w:rFonts w:hint="eastAsia" w:ascii="仿宋" w:hAnsi="仿宋" w:eastAsia="仿宋"/>
          <w:b w:val="0"/>
          <w:bCs/>
          <w:sz w:val="32"/>
          <w:szCs w:val="32"/>
          <w:highlight w:val="none"/>
          <w:lang w:val="en-US" w:eastAsia="zh-CN"/>
        </w:rPr>
        <w:t>5</w:t>
      </w:r>
      <w:r>
        <w:rPr>
          <w:rFonts w:hint="eastAsia" w:ascii="仿宋" w:hAnsi="仿宋" w:eastAsia="仿宋"/>
          <w:b w:val="0"/>
          <w:bCs/>
          <w:sz w:val="32"/>
          <w:szCs w:val="32"/>
          <w:highlight w:val="none"/>
        </w:rPr>
        <w:t>分）</w:t>
      </w:r>
    </w:p>
    <w:p w14:paraId="7178E192">
      <w:pPr>
        <w:keepNext w:val="0"/>
        <w:keepLines w:val="0"/>
        <w:pageBreakBefore w:val="0"/>
        <w:widowControl w:val="0"/>
        <w:numPr>
          <w:ilvl w:val="0"/>
          <w:numId w:val="3"/>
        </w:numPr>
        <w:kinsoku/>
        <w:wordWrap w:val="0"/>
        <w:overflowPunct/>
        <w:topLinePunct w:val="0"/>
        <w:autoSpaceDE w:val="0"/>
        <w:autoSpaceDN w:val="0"/>
        <w:bidi w:val="0"/>
        <w:adjustRightInd/>
        <w:snapToGrid/>
        <w:spacing w:after="120" w:line="560" w:lineRule="exact"/>
        <w:ind w:firstLine="640" w:firstLineChars="200"/>
        <w:textAlignment w:val="auto"/>
        <w:rPr>
          <w:rFonts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经学院认定的其他加分项（上限10分）。</w:t>
      </w:r>
    </w:p>
    <w:p w14:paraId="39FBC75F">
      <w:pPr>
        <w:keepNext w:val="0"/>
        <w:keepLines w:val="0"/>
        <w:pageBreakBefore w:val="0"/>
        <w:widowControl w:val="0"/>
        <w:kinsoku/>
        <w:wordWrap w:val="0"/>
        <w:overflowPunct/>
        <w:topLinePunct w:val="0"/>
        <w:autoSpaceDE w:val="0"/>
        <w:autoSpaceDN w:val="0"/>
        <w:bidi w:val="0"/>
        <w:adjustRightInd/>
        <w:snapToGrid/>
        <w:spacing w:after="120" w:line="560" w:lineRule="exact"/>
        <w:ind w:firstLine="640" w:firstLineChars="200"/>
        <w:textAlignment w:val="auto"/>
        <w:rPr>
          <w:rFonts w:hint="eastAsia" w:ascii="仿宋" w:hAnsi="仿宋" w:eastAsia="仿宋" w:cs="仿宋"/>
          <w:b w:val="0"/>
          <w:bCs/>
          <w:color w:val="000000"/>
          <w:sz w:val="32"/>
          <w:szCs w:val="32"/>
          <w:highlight w:val="none"/>
        </w:rPr>
      </w:pPr>
      <w:r>
        <w:rPr>
          <w:rFonts w:hint="eastAsia" w:ascii="仿宋" w:hAnsi="仿宋" w:eastAsia="仿宋" w:cs="仿宋"/>
          <w:b w:val="0"/>
          <w:bCs/>
          <w:color w:val="000000"/>
          <w:sz w:val="32"/>
          <w:szCs w:val="32"/>
          <w:highlight w:val="none"/>
        </w:rPr>
        <w:t>1.经学院认定的其他劳育类加分项（</w:t>
      </w:r>
      <w:r>
        <w:rPr>
          <w:rFonts w:hint="eastAsia" w:ascii="仿宋" w:hAnsi="仿宋" w:eastAsia="仿宋" w:cs="仿宋"/>
          <w:b w:val="0"/>
          <w:bCs/>
          <w:color w:val="000000"/>
          <w:sz w:val="32"/>
          <w:szCs w:val="32"/>
          <w:highlight w:val="none"/>
          <w:lang w:eastAsia="zh-CN"/>
        </w:rPr>
        <w:t>校级2分/次</w:t>
      </w:r>
      <w:r>
        <w:rPr>
          <w:rFonts w:hint="eastAsia" w:ascii="仿宋" w:hAnsi="仿宋" w:eastAsia="仿宋" w:cs="仿宋"/>
          <w:b w:val="0"/>
          <w:bCs/>
          <w:color w:val="000000"/>
          <w:sz w:val="32"/>
          <w:szCs w:val="32"/>
          <w:highlight w:val="none"/>
        </w:rPr>
        <w:t>，</w:t>
      </w:r>
      <w:r>
        <w:rPr>
          <w:rFonts w:hint="eastAsia" w:ascii="仿宋" w:hAnsi="仿宋" w:eastAsia="仿宋" w:cs="仿宋"/>
          <w:b w:val="0"/>
          <w:bCs/>
          <w:color w:val="000000"/>
          <w:sz w:val="32"/>
          <w:szCs w:val="32"/>
          <w:highlight w:val="none"/>
          <w:lang w:eastAsia="zh-CN"/>
        </w:rPr>
        <w:t>院级1分/次</w:t>
      </w:r>
      <w:r>
        <w:rPr>
          <w:rFonts w:hint="eastAsia" w:ascii="仿宋" w:hAnsi="仿宋" w:eastAsia="仿宋" w:cs="仿宋"/>
          <w:b w:val="0"/>
          <w:bCs/>
          <w:color w:val="000000"/>
          <w:sz w:val="32"/>
          <w:szCs w:val="32"/>
          <w:highlight w:val="none"/>
        </w:rPr>
        <w:t>）</w:t>
      </w:r>
    </w:p>
    <w:p w14:paraId="77B85A5C">
      <w:pPr>
        <w:keepNext w:val="0"/>
        <w:keepLines w:val="0"/>
        <w:pageBreakBefore w:val="0"/>
        <w:widowControl w:val="0"/>
        <w:kinsoku/>
        <w:wordWrap/>
        <w:overflowPunct/>
        <w:topLinePunct w:val="0"/>
        <w:autoSpaceDE/>
        <w:autoSpaceDN/>
        <w:bidi w:val="0"/>
        <w:adjustRightInd w:val="0"/>
        <w:snapToGrid w:val="0"/>
        <w:spacing w:before="240" w:after="120" w:line="560" w:lineRule="exact"/>
        <w:jc w:val="center"/>
        <w:textAlignment w:val="auto"/>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第五章 附则</w:t>
      </w:r>
    </w:p>
    <w:p w14:paraId="059E63C9">
      <w:pPr>
        <w:keepNext w:val="0"/>
        <w:keepLines w:val="0"/>
        <w:pageBreakBefore w:val="0"/>
        <w:overflowPunct/>
        <w:topLinePunct w:val="0"/>
        <w:bidi w:val="0"/>
        <w:spacing w:after="120" w:line="560" w:lineRule="exact"/>
        <w:ind w:firstLine="643" w:firstLineChars="200"/>
        <w:rPr>
          <w:rFonts w:ascii="仿宋" w:hAnsi="仿宋" w:eastAsia="仿宋" w:cs="Times New Roman"/>
          <w:sz w:val="32"/>
          <w:szCs w:val="32"/>
          <w:highlight w:val="none"/>
        </w:rPr>
      </w:pPr>
      <w:r>
        <w:rPr>
          <w:rFonts w:hint="eastAsia" w:ascii="仿宋" w:hAnsi="仿宋" w:eastAsia="仿宋" w:cs="仿宋"/>
          <w:b/>
          <w:bCs/>
          <w:color w:val="000000"/>
          <w:kern w:val="2"/>
          <w:sz w:val="32"/>
          <w:szCs w:val="32"/>
          <w:highlight w:val="none"/>
        </w:rPr>
        <w:t>第二十三条</w:t>
      </w:r>
      <w:r>
        <w:rPr>
          <w:rFonts w:hint="eastAsia" w:ascii="仿宋" w:hAnsi="仿宋" w:eastAsia="仿宋" w:cs="Times New Roman"/>
          <w:b/>
          <w:sz w:val="32"/>
          <w:szCs w:val="32"/>
          <w:highlight w:val="none"/>
        </w:rPr>
        <w:t xml:space="preserve"> </w:t>
      </w:r>
      <w:r>
        <w:rPr>
          <w:rFonts w:hint="eastAsia" w:ascii="仿宋" w:hAnsi="仿宋" w:eastAsia="仿宋" w:cs="Times New Roman"/>
          <w:sz w:val="32"/>
          <w:szCs w:val="32"/>
          <w:highlight w:val="none"/>
        </w:rPr>
        <w:t>本细则从2025级学生开始实施。</w:t>
      </w:r>
    </w:p>
    <w:p w14:paraId="5B6A4563">
      <w:pPr>
        <w:keepNext w:val="0"/>
        <w:keepLines w:val="0"/>
        <w:pageBreakBefore w:val="0"/>
        <w:overflowPunct/>
        <w:topLinePunct w:val="0"/>
        <w:bidi w:val="0"/>
        <w:spacing w:after="120" w:line="560" w:lineRule="exact"/>
        <w:ind w:firstLine="643" w:firstLineChars="200"/>
        <w:rPr>
          <w:rFonts w:ascii="仿宋" w:hAnsi="仿宋" w:eastAsia="仿宋" w:cs="Times New Roman"/>
          <w:sz w:val="32"/>
          <w:szCs w:val="32"/>
          <w:highlight w:val="none"/>
        </w:rPr>
      </w:pPr>
      <w:r>
        <w:rPr>
          <w:rFonts w:hint="eastAsia" w:ascii="仿宋" w:hAnsi="仿宋" w:eastAsia="仿宋" w:cs="仿宋"/>
          <w:b/>
          <w:bCs/>
          <w:color w:val="000000"/>
          <w:kern w:val="2"/>
          <w:sz w:val="32"/>
          <w:szCs w:val="32"/>
          <w:highlight w:val="none"/>
        </w:rPr>
        <w:t>第二十四条</w:t>
      </w:r>
      <w:r>
        <w:rPr>
          <w:rFonts w:hint="eastAsia" w:ascii="仿宋" w:hAnsi="仿宋" w:eastAsia="仿宋"/>
          <w:sz w:val="32"/>
          <w:szCs w:val="32"/>
          <w:highlight w:val="none"/>
        </w:rPr>
        <w:t xml:space="preserve"> 本细则如有未尽事宜，由学院综合测评领导小组根据实际情况研究决定。</w:t>
      </w:r>
    </w:p>
    <w:p w14:paraId="69A1A3E0">
      <w:pPr>
        <w:keepNext w:val="0"/>
        <w:keepLines w:val="0"/>
        <w:pageBreakBefore w:val="0"/>
        <w:overflowPunct/>
        <w:topLinePunct w:val="0"/>
        <w:bidi w:val="0"/>
        <w:spacing w:after="120" w:line="560" w:lineRule="exact"/>
        <w:ind w:firstLine="643" w:firstLineChars="200"/>
        <w:rPr>
          <w:rFonts w:ascii="仿宋" w:hAnsi="仿宋" w:eastAsia="仿宋" w:cs="Times New Roman"/>
          <w:sz w:val="32"/>
          <w:szCs w:val="32"/>
          <w:highlight w:val="none"/>
        </w:rPr>
      </w:pPr>
      <w:r>
        <w:rPr>
          <w:rFonts w:hint="eastAsia" w:ascii="仿宋" w:hAnsi="仿宋" w:eastAsia="仿宋" w:cs="仿宋"/>
          <w:b/>
          <w:bCs/>
          <w:color w:val="000000"/>
          <w:kern w:val="2"/>
          <w:sz w:val="32"/>
          <w:szCs w:val="32"/>
          <w:highlight w:val="none"/>
        </w:rPr>
        <w:t>第二十五条</w:t>
      </w:r>
      <w:r>
        <w:rPr>
          <w:rFonts w:hint="eastAsia" w:ascii="仿宋" w:hAnsi="仿宋" w:eastAsia="仿宋" w:cs="Times New Roman"/>
          <w:b/>
          <w:sz w:val="32"/>
          <w:szCs w:val="32"/>
          <w:highlight w:val="none"/>
        </w:rPr>
        <w:t xml:space="preserve"> </w:t>
      </w:r>
      <w:r>
        <w:rPr>
          <w:rFonts w:hint="eastAsia" w:ascii="仿宋" w:hAnsi="仿宋" w:eastAsia="仿宋" w:cs="Times New Roman"/>
          <w:sz w:val="32"/>
          <w:szCs w:val="32"/>
          <w:highlight w:val="none"/>
        </w:rPr>
        <w:t>本细则由</w:t>
      </w:r>
      <w:r>
        <w:rPr>
          <w:rFonts w:hint="eastAsia" w:ascii="仿宋" w:hAnsi="仿宋" w:eastAsia="仿宋"/>
          <w:sz w:val="32"/>
          <w:szCs w:val="32"/>
          <w:highlight w:val="none"/>
        </w:rPr>
        <w:t>学院综合素质能力测评领导小组</w:t>
      </w:r>
      <w:r>
        <w:rPr>
          <w:rFonts w:hint="eastAsia" w:ascii="仿宋" w:hAnsi="仿宋" w:eastAsia="仿宋" w:cs="Times New Roman"/>
          <w:sz w:val="32"/>
          <w:szCs w:val="32"/>
          <w:highlight w:val="none"/>
        </w:rPr>
        <w:t>负责解释。</w:t>
      </w:r>
    </w:p>
    <w:p w14:paraId="4E96C1DE">
      <w:pPr>
        <w:keepNext w:val="0"/>
        <w:keepLines w:val="0"/>
        <w:pageBreakBefore w:val="0"/>
        <w:overflowPunct/>
        <w:topLinePunct w:val="0"/>
        <w:bidi w:val="0"/>
        <w:adjustRightInd w:val="0"/>
        <w:snapToGrid w:val="0"/>
        <w:spacing w:after="120" w:line="560" w:lineRule="exact"/>
        <w:ind w:firstLine="643" w:firstLineChars="200"/>
        <w:rPr>
          <w:rFonts w:ascii="仿宋" w:hAnsi="仿宋" w:eastAsia="仿宋" w:cs="Times New Roman"/>
          <w:sz w:val="32"/>
          <w:szCs w:val="32"/>
          <w:highlight w:val="none"/>
        </w:rPr>
      </w:pPr>
      <w:r>
        <w:rPr>
          <w:rFonts w:hint="eastAsia" w:ascii="仿宋" w:hAnsi="仿宋" w:eastAsia="仿宋" w:cs="仿宋"/>
          <w:b/>
          <w:bCs/>
          <w:color w:val="000000"/>
          <w:kern w:val="2"/>
          <w:sz w:val="32"/>
          <w:szCs w:val="32"/>
          <w:highlight w:val="none"/>
        </w:rPr>
        <w:t>第二十六条</w:t>
      </w:r>
      <w:r>
        <w:rPr>
          <w:rFonts w:hint="eastAsia" w:ascii="仿宋" w:hAnsi="仿宋" w:eastAsia="仿宋"/>
          <w:sz w:val="32"/>
          <w:szCs w:val="32"/>
          <w:highlight w:val="none"/>
        </w:rPr>
        <w:t xml:space="preserve"> 本细则从2026年</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日开始实行。</w:t>
      </w:r>
    </w:p>
    <w:sectPr>
      <w:footerReference r:id="rId3" w:type="default"/>
      <w:type w:val="continuous"/>
      <w:pgSz w:w="11900" w:h="16820"/>
      <w:pgMar w:top="1417" w:right="1587" w:bottom="1417" w:left="1587" w:header="850"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7E4E9C-82A8-4EDF-A8D2-7762312C9A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BAAD862-0E99-432B-8D49-DD30ABFDDDEA}"/>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00000001" w:usb1="080E0000" w:usb2="00000000" w:usb3="00000000" w:csb0="00040000" w:csb1="00000000"/>
    <w:embedRegular r:id="rId3" w:fontKey="{A3195992-8E35-45DF-83A6-7A730096CDED}"/>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4" w:fontKey="{3CE166AE-7932-4E41-B0DB-A8768BDAA4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BAFC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F7ABC">
                          <w:pPr>
                            <w:pStyle w:val="5"/>
                            <w:keepNext w:val="0"/>
                            <w:keepLines w:val="0"/>
                            <w:pageBreakBefore w:val="0"/>
                            <w:widowControl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55F7ABC">
                    <w:pPr>
                      <w:pStyle w:val="5"/>
                      <w:keepNext w:val="0"/>
                      <w:keepLines w:val="0"/>
                      <w:pageBreakBefore w:val="0"/>
                      <w:widowControl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6"/>
      <w:numFmt w:val="chineseCounting"/>
      <w:pStyle w:val="2"/>
      <w:suff w:val="space"/>
      <w:lvlText w:val="第%1条"/>
      <w:lvlJc w:val="left"/>
    </w:lvl>
  </w:abstractNum>
  <w:abstractNum w:abstractNumId="1">
    <w:nsid w:val="5FCABE9D"/>
    <w:multiLevelType w:val="singleLevel"/>
    <w:tmpl w:val="5FCABE9D"/>
    <w:lvl w:ilvl="0" w:tentative="0">
      <w:start w:val="4"/>
      <w:numFmt w:val="chineseCounting"/>
      <w:suff w:val="nothing"/>
      <w:lvlText w:val="（%1）"/>
      <w:lvlJc w:val="left"/>
      <w:rPr>
        <w:rFonts w:hint="eastAsia"/>
      </w:rPr>
    </w:lvl>
  </w:abstractNum>
  <w:abstractNum w:abstractNumId="2">
    <w:nsid w:val="7320D387"/>
    <w:multiLevelType w:val="singleLevel"/>
    <w:tmpl w:val="7320D387"/>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244F54"/>
    <w:rsid w:val="00261299"/>
    <w:rsid w:val="00337CEF"/>
    <w:rsid w:val="00635E70"/>
    <w:rsid w:val="00756B79"/>
    <w:rsid w:val="008D52E3"/>
    <w:rsid w:val="009F0BE0"/>
    <w:rsid w:val="00BA6D97"/>
    <w:rsid w:val="00BD0BC8"/>
    <w:rsid w:val="00BD7B20"/>
    <w:rsid w:val="00C23BE2"/>
    <w:rsid w:val="00D80711"/>
    <w:rsid w:val="00F26A98"/>
    <w:rsid w:val="013B4944"/>
    <w:rsid w:val="01536654"/>
    <w:rsid w:val="02385327"/>
    <w:rsid w:val="02F656A4"/>
    <w:rsid w:val="036B1670"/>
    <w:rsid w:val="04550780"/>
    <w:rsid w:val="047C62A1"/>
    <w:rsid w:val="049F5BF9"/>
    <w:rsid w:val="05001864"/>
    <w:rsid w:val="05322502"/>
    <w:rsid w:val="05687863"/>
    <w:rsid w:val="05BB3177"/>
    <w:rsid w:val="063930B9"/>
    <w:rsid w:val="06452184"/>
    <w:rsid w:val="06651919"/>
    <w:rsid w:val="06B75C5D"/>
    <w:rsid w:val="06E4782C"/>
    <w:rsid w:val="0757624F"/>
    <w:rsid w:val="0781507A"/>
    <w:rsid w:val="07911761"/>
    <w:rsid w:val="07E8634C"/>
    <w:rsid w:val="084A5DB4"/>
    <w:rsid w:val="08AF1043"/>
    <w:rsid w:val="08CB57A5"/>
    <w:rsid w:val="091F4B4B"/>
    <w:rsid w:val="09C6146A"/>
    <w:rsid w:val="0A764C3F"/>
    <w:rsid w:val="0AB2170F"/>
    <w:rsid w:val="0AE918B4"/>
    <w:rsid w:val="0C3C3C66"/>
    <w:rsid w:val="0CA248BC"/>
    <w:rsid w:val="0CAA0BCF"/>
    <w:rsid w:val="0CDD71F7"/>
    <w:rsid w:val="0D1F511A"/>
    <w:rsid w:val="0D2546FA"/>
    <w:rsid w:val="0DC91EAE"/>
    <w:rsid w:val="0E19600D"/>
    <w:rsid w:val="102B0279"/>
    <w:rsid w:val="10320312"/>
    <w:rsid w:val="103D2F31"/>
    <w:rsid w:val="111520AA"/>
    <w:rsid w:val="115200A3"/>
    <w:rsid w:val="119D51A7"/>
    <w:rsid w:val="11C646FD"/>
    <w:rsid w:val="12174F59"/>
    <w:rsid w:val="12CA3D79"/>
    <w:rsid w:val="12DA3FF8"/>
    <w:rsid w:val="12F2507E"/>
    <w:rsid w:val="138F10FE"/>
    <w:rsid w:val="13B219BD"/>
    <w:rsid w:val="142E0338"/>
    <w:rsid w:val="15351E09"/>
    <w:rsid w:val="156C2509"/>
    <w:rsid w:val="158D6F6A"/>
    <w:rsid w:val="159B19FD"/>
    <w:rsid w:val="161A0B74"/>
    <w:rsid w:val="16FE631B"/>
    <w:rsid w:val="175E6B6A"/>
    <w:rsid w:val="17CE7E68"/>
    <w:rsid w:val="18D4004C"/>
    <w:rsid w:val="18D74235"/>
    <w:rsid w:val="18DB41E2"/>
    <w:rsid w:val="192F64DD"/>
    <w:rsid w:val="19744A3F"/>
    <w:rsid w:val="1C104333"/>
    <w:rsid w:val="1C330BE1"/>
    <w:rsid w:val="1C6B475E"/>
    <w:rsid w:val="1CC932F4"/>
    <w:rsid w:val="1DC064A5"/>
    <w:rsid w:val="1DDB4F4E"/>
    <w:rsid w:val="1E3A3507"/>
    <w:rsid w:val="1E4B0DCA"/>
    <w:rsid w:val="1EC93137"/>
    <w:rsid w:val="1F446C62"/>
    <w:rsid w:val="20390790"/>
    <w:rsid w:val="20783067"/>
    <w:rsid w:val="21295FD6"/>
    <w:rsid w:val="22AF5C0A"/>
    <w:rsid w:val="22D64075"/>
    <w:rsid w:val="234B4A63"/>
    <w:rsid w:val="23C14D25"/>
    <w:rsid w:val="245071DF"/>
    <w:rsid w:val="246D6C5B"/>
    <w:rsid w:val="2483022C"/>
    <w:rsid w:val="25755DC7"/>
    <w:rsid w:val="2584600A"/>
    <w:rsid w:val="27440052"/>
    <w:rsid w:val="27AD5F6C"/>
    <w:rsid w:val="283C0E1E"/>
    <w:rsid w:val="28C61A90"/>
    <w:rsid w:val="293B10D5"/>
    <w:rsid w:val="29FF2103"/>
    <w:rsid w:val="2A3854D0"/>
    <w:rsid w:val="2A8B3997"/>
    <w:rsid w:val="2AF35595"/>
    <w:rsid w:val="2B277B63"/>
    <w:rsid w:val="2B4C75CA"/>
    <w:rsid w:val="2B6F150A"/>
    <w:rsid w:val="2B8A00F2"/>
    <w:rsid w:val="2C884632"/>
    <w:rsid w:val="2CAB47C4"/>
    <w:rsid w:val="2CDE06F5"/>
    <w:rsid w:val="2DA04A4C"/>
    <w:rsid w:val="2DD6761F"/>
    <w:rsid w:val="2E2C36E3"/>
    <w:rsid w:val="2E3E18C7"/>
    <w:rsid w:val="2E5660D9"/>
    <w:rsid w:val="2E750BE6"/>
    <w:rsid w:val="2E874865"/>
    <w:rsid w:val="2EAA1D6D"/>
    <w:rsid w:val="2EF27435"/>
    <w:rsid w:val="2EF6291B"/>
    <w:rsid w:val="2F522CD5"/>
    <w:rsid w:val="2F73601B"/>
    <w:rsid w:val="2F912229"/>
    <w:rsid w:val="30350749"/>
    <w:rsid w:val="307229AC"/>
    <w:rsid w:val="307C26FF"/>
    <w:rsid w:val="314D5E4A"/>
    <w:rsid w:val="3196159F"/>
    <w:rsid w:val="322C0750"/>
    <w:rsid w:val="327318E0"/>
    <w:rsid w:val="32AA07AD"/>
    <w:rsid w:val="33CA19D4"/>
    <w:rsid w:val="33CE41F4"/>
    <w:rsid w:val="34037AE5"/>
    <w:rsid w:val="349033B6"/>
    <w:rsid w:val="34A36CAE"/>
    <w:rsid w:val="34BD6E42"/>
    <w:rsid w:val="34C04B85"/>
    <w:rsid w:val="35037688"/>
    <w:rsid w:val="355F7EFA"/>
    <w:rsid w:val="36FA437E"/>
    <w:rsid w:val="37113475"/>
    <w:rsid w:val="374A23CF"/>
    <w:rsid w:val="37F848EE"/>
    <w:rsid w:val="384E08DF"/>
    <w:rsid w:val="38AD5420"/>
    <w:rsid w:val="391A2AB5"/>
    <w:rsid w:val="397C5AE7"/>
    <w:rsid w:val="3AA9374B"/>
    <w:rsid w:val="3B273268"/>
    <w:rsid w:val="3B357576"/>
    <w:rsid w:val="3B581673"/>
    <w:rsid w:val="3B914B85"/>
    <w:rsid w:val="3BAC19BF"/>
    <w:rsid w:val="3C1C6B44"/>
    <w:rsid w:val="3C2F4917"/>
    <w:rsid w:val="3CDC62D4"/>
    <w:rsid w:val="3CF74EBC"/>
    <w:rsid w:val="3D1D0DC6"/>
    <w:rsid w:val="3D7C2E95"/>
    <w:rsid w:val="3DE47B36"/>
    <w:rsid w:val="3E2A7EC8"/>
    <w:rsid w:val="3E4C669F"/>
    <w:rsid w:val="3E9E2778"/>
    <w:rsid w:val="3ED26D52"/>
    <w:rsid w:val="3F6820A1"/>
    <w:rsid w:val="3FB84DD6"/>
    <w:rsid w:val="3FD60E4A"/>
    <w:rsid w:val="3FF676AC"/>
    <w:rsid w:val="3FFF2A05"/>
    <w:rsid w:val="400201E7"/>
    <w:rsid w:val="40412C5A"/>
    <w:rsid w:val="405E3BCF"/>
    <w:rsid w:val="412F10C8"/>
    <w:rsid w:val="415154E2"/>
    <w:rsid w:val="415E31FA"/>
    <w:rsid w:val="41BD4926"/>
    <w:rsid w:val="41D13F2D"/>
    <w:rsid w:val="421A6A68"/>
    <w:rsid w:val="423C15B9"/>
    <w:rsid w:val="42F44377"/>
    <w:rsid w:val="436A4F74"/>
    <w:rsid w:val="443C2C41"/>
    <w:rsid w:val="44C97A59"/>
    <w:rsid w:val="44E421C9"/>
    <w:rsid w:val="47307948"/>
    <w:rsid w:val="47573126"/>
    <w:rsid w:val="476C2C25"/>
    <w:rsid w:val="47D74267"/>
    <w:rsid w:val="48786E75"/>
    <w:rsid w:val="48D5178D"/>
    <w:rsid w:val="49401782"/>
    <w:rsid w:val="49CA362A"/>
    <w:rsid w:val="4A08695A"/>
    <w:rsid w:val="4A394D65"/>
    <w:rsid w:val="4AB2387D"/>
    <w:rsid w:val="4BD51A25"/>
    <w:rsid w:val="4C4A5008"/>
    <w:rsid w:val="4E6B74B7"/>
    <w:rsid w:val="4E6F6FA8"/>
    <w:rsid w:val="4EC12742"/>
    <w:rsid w:val="4F974D24"/>
    <w:rsid w:val="4FF11472"/>
    <w:rsid w:val="50010670"/>
    <w:rsid w:val="50E21A58"/>
    <w:rsid w:val="510D0454"/>
    <w:rsid w:val="51423D9D"/>
    <w:rsid w:val="51692A6F"/>
    <w:rsid w:val="51BC69A8"/>
    <w:rsid w:val="52263E21"/>
    <w:rsid w:val="522A26AA"/>
    <w:rsid w:val="52C35B14"/>
    <w:rsid w:val="5422686A"/>
    <w:rsid w:val="542636A8"/>
    <w:rsid w:val="54D062C6"/>
    <w:rsid w:val="5596306C"/>
    <w:rsid w:val="55F01A8B"/>
    <w:rsid w:val="56251EE4"/>
    <w:rsid w:val="56D4209E"/>
    <w:rsid w:val="570A1C69"/>
    <w:rsid w:val="57E43DE6"/>
    <w:rsid w:val="57FF139C"/>
    <w:rsid w:val="58123023"/>
    <w:rsid w:val="581A4428"/>
    <w:rsid w:val="5858676E"/>
    <w:rsid w:val="585A69C8"/>
    <w:rsid w:val="58A532F6"/>
    <w:rsid w:val="58BF28DA"/>
    <w:rsid w:val="58DE2E5D"/>
    <w:rsid w:val="59232E69"/>
    <w:rsid w:val="5A662087"/>
    <w:rsid w:val="5AB2411D"/>
    <w:rsid w:val="5B1E7D8B"/>
    <w:rsid w:val="5B490B80"/>
    <w:rsid w:val="5B5E0630"/>
    <w:rsid w:val="5B8C1F9E"/>
    <w:rsid w:val="5C272C70"/>
    <w:rsid w:val="5D2B6790"/>
    <w:rsid w:val="5D392E01"/>
    <w:rsid w:val="5D9205BD"/>
    <w:rsid w:val="5E190CDE"/>
    <w:rsid w:val="5E4E4E2C"/>
    <w:rsid w:val="5E5166CA"/>
    <w:rsid w:val="5F0E7E34"/>
    <w:rsid w:val="602A71D2"/>
    <w:rsid w:val="60FB7FA9"/>
    <w:rsid w:val="61337A79"/>
    <w:rsid w:val="61573FF7"/>
    <w:rsid w:val="61692624"/>
    <w:rsid w:val="61A65EC3"/>
    <w:rsid w:val="61AD3C17"/>
    <w:rsid w:val="621041A6"/>
    <w:rsid w:val="62287742"/>
    <w:rsid w:val="62685D90"/>
    <w:rsid w:val="628C1A7E"/>
    <w:rsid w:val="62C83A1C"/>
    <w:rsid w:val="62EA0E9B"/>
    <w:rsid w:val="63470597"/>
    <w:rsid w:val="63C90AB0"/>
    <w:rsid w:val="64846651"/>
    <w:rsid w:val="65393A14"/>
    <w:rsid w:val="6549634D"/>
    <w:rsid w:val="66F46E51"/>
    <w:rsid w:val="670C7632"/>
    <w:rsid w:val="673F6082"/>
    <w:rsid w:val="67876CB8"/>
    <w:rsid w:val="67E83B0E"/>
    <w:rsid w:val="67F500C6"/>
    <w:rsid w:val="68093B71"/>
    <w:rsid w:val="68161650"/>
    <w:rsid w:val="68A400C4"/>
    <w:rsid w:val="68C5738A"/>
    <w:rsid w:val="68DE196F"/>
    <w:rsid w:val="69236EB5"/>
    <w:rsid w:val="69B1626F"/>
    <w:rsid w:val="6A0311FB"/>
    <w:rsid w:val="6A4B50B0"/>
    <w:rsid w:val="6AA06E52"/>
    <w:rsid w:val="6AB42B03"/>
    <w:rsid w:val="6AED777A"/>
    <w:rsid w:val="6BA73DCD"/>
    <w:rsid w:val="6BE02E3B"/>
    <w:rsid w:val="6C953C26"/>
    <w:rsid w:val="6CB02DB5"/>
    <w:rsid w:val="6CB10F1C"/>
    <w:rsid w:val="6CD02EB0"/>
    <w:rsid w:val="6D0C3444"/>
    <w:rsid w:val="6D260D22"/>
    <w:rsid w:val="6DAB2C8A"/>
    <w:rsid w:val="6DFF7EAF"/>
    <w:rsid w:val="6E5D5C23"/>
    <w:rsid w:val="6E6B7334"/>
    <w:rsid w:val="6FA92B76"/>
    <w:rsid w:val="7023779A"/>
    <w:rsid w:val="708B7819"/>
    <w:rsid w:val="70FE1ADA"/>
    <w:rsid w:val="71046BC4"/>
    <w:rsid w:val="711F7CF0"/>
    <w:rsid w:val="714F6317"/>
    <w:rsid w:val="71E21F50"/>
    <w:rsid w:val="71F118FE"/>
    <w:rsid w:val="722D5AE4"/>
    <w:rsid w:val="723143F0"/>
    <w:rsid w:val="724C4D86"/>
    <w:rsid w:val="72897D89"/>
    <w:rsid w:val="73306456"/>
    <w:rsid w:val="734C3B60"/>
    <w:rsid w:val="736E6F7E"/>
    <w:rsid w:val="737352F5"/>
    <w:rsid w:val="738239FA"/>
    <w:rsid w:val="7395275D"/>
    <w:rsid w:val="743957DE"/>
    <w:rsid w:val="74A5075E"/>
    <w:rsid w:val="74D215F5"/>
    <w:rsid w:val="75082C39"/>
    <w:rsid w:val="75B90985"/>
    <w:rsid w:val="764970A6"/>
    <w:rsid w:val="76624BBF"/>
    <w:rsid w:val="76B15B00"/>
    <w:rsid w:val="76C17FE3"/>
    <w:rsid w:val="76CB6DA4"/>
    <w:rsid w:val="76EC4A0F"/>
    <w:rsid w:val="771C695F"/>
    <w:rsid w:val="775766A7"/>
    <w:rsid w:val="7859032F"/>
    <w:rsid w:val="78866B18"/>
    <w:rsid w:val="78986F77"/>
    <w:rsid w:val="793D18CD"/>
    <w:rsid w:val="79955265"/>
    <w:rsid w:val="79AC0800"/>
    <w:rsid w:val="79B865A4"/>
    <w:rsid w:val="79F26B1E"/>
    <w:rsid w:val="7A6F1F5A"/>
    <w:rsid w:val="7B5F3D7C"/>
    <w:rsid w:val="7BD1454E"/>
    <w:rsid w:val="7C5E4A19"/>
    <w:rsid w:val="7C6F6241"/>
    <w:rsid w:val="7CB719AB"/>
    <w:rsid w:val="7CB974BC"/>
    <w:rsid w:val="7CF2748B"/>
    <w:rsid w:val="7D567401"/>
    <w:rsid w:val="7D630702"/>
    <w:rsid w:val="7DA243F4"/>
    <w:rsid w:val="7F01339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3"/>
    <w:next w:val="1"/>
    <w:qFormat/>
    <w:uiPriority w:val="9"/>
    <w:pPr>
      <w:widowControl/>
      <w:numPr>
        <w:ilvl w:val="0"/>
        <w:numId w:val="1"/>
      </w:numPr>
      <w:spacing w:after="0"/>
      <w:ind w:left="0" w:leftChars="0" w:firstLine="632" w:firstLineChars="200"/>
      <w:outlineLvl w:val="0"/>
    </w:pPr>
    <w:rPr>
      <w:rFonts w:ascii="仿宋_GB2312" w:hAnsi="仿宋_GB2312" w:eastAsia="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 A"/>
    <w:qFormat/>
    <w:uiPriority w:val="0"/>
    <w:pPr>
      <w:widowControl w:val="0"/>
      <w:jc w:val="both"/>
    </w:pPr>
    <w:rPr>
      <w:rFonts w:ascii="Arial Unicode MS" w:hAnsi="Arial Unicode MS" w:eastAsia="Arial Unicode MS" w:cs="Times New Roman"/>
      <w:color w:val="000000"/>
      <w:szCs w:val="21"/>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6879</Words>
  <Characters>7057</Characters>
  <Lines>107</Lines>
  <Paragraphs>30</Paragraphs>
  <TotalTime>13</TotalTime>
  <ScaleCrop>false</ScaleCrop>
  <LinksUpToDate>false</LinksUpToDate>
  <CharactersWithSpaces>7106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2026-04-20T03:06:00Z</dcterms:created>
  <dc:creator>INTSIG</dc:creator>
  <dc:description>Intsig Word Converter</dc:description>
  <cp:lastModifiedBy>高玉珊</cp:lastModifiedBy>
  <cp:lastPrinted>2026-06-15T08:18:00Z</cp:lastPrinted>
  <dcterms:modified xsi:type="dcterms:W3CDTF">2026-06-22T07:07:07Z</dcterms:modified>
  <dc:title>wordbuilder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eyJoZGlkIjoiMjg1MTkyOTQwZDEzOTFiYjZiZmI4OGExMzcyYmNhOTgiLCJ1c2VySWQiOiIxNzM4MzY0MTE4In0=</vt:lpwstr>
  </property>
  <property fmtid="{D5CDD505-2E9C-101B-9397-08002B2CF9AE}" pid="3" name="KSOProductBuildVer">
    <vt:lpwstr>2052-12.1.0.24034</vt:lpwstr>
  </property>
  <property fmtid="{D5CDD505-2E9C-101B-9397-08002B2CF9AE}" pid="4" name="ICV">
    <vt:lpwstr>79EC9FC3AC2D43429476010DD173D85B_13</vt:lpwstr>
  </property>
</Properties>
</file>